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B46BE" w14:textId="77777777" w:rsidR="00E23E51" w:rsidRDefault="00E23E51">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p>
    <w:tbl>
      <w:tblPr>
        <w:tblW w:w="98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1"/>
        <w:gridCol w:w="7232"/>
      </w:tblGrid>
      <w:tr w:rsidR="00E23E51" w14:paraId="3CF1CD5A" w14:textId="77777777">
        <w:trPr>
          <w:trHeight w:val="432"/>
        </w:trPr>
        <w:tc>
          <w:tcPr>
            <w:tcW w:w="2581" w:type="dxa"/>
            <w:shd w:val="clear" w:color="auto" w:fill="C6D9F1"/>
            <w:vAlign w:val="center"/>
          </w:tcPr>
          <w:p w14:paraId="6735AC54"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Intitulé de la formation</w:t>
            </w:r>
          </w:p>
        </w:tc>
        <w:tc>
          <w:tcPr>
            <w:tcW w:w="7232" w:type="dxa"/>
            <w:shd w:val="clear" w:color="auto" w:fill="auto"/>
            <w:vAlign w:val="center"/>
          </w:tcPr>
          <w:p w14:paraId="11211365" w14:textId="77777777" w:rsidR="00E23E51" w:rsidRDefault="00000000">
            <w:pPr>
              <w:tabs>
                <w:tab w:val="left" w:pos="-142"/>
                <w:tab w:val="left" w:pos="4111"/>
              </w:tabs>
              <w:spacing w:after="0" w:line="240" w:lineRule="auto"/>
              <w:jc w:val="center"/>
              <w:rPr>
                <w:rFonts w:ascii="Arial" w:eastAsia="Times New Roman" w:hAnsi="Arial" w:cs="Arial"/>
                <w:b/>
                <w:bCs/>
                <w:sz w:val="20"/>
                <w:szCs w:val="20"/>
                <w:lang w:val="fr-FR" w:eastAsia="fr-FR"/>
              </w:rPr>
            </w:pPr>
            <w:r>
              <w:rPr>
                <w:rFonts w:ascii="Arial" w:eastAsia="Times New Roman" w:hAnsi="Arial" w:cs="Arial"/>
                <w:b/>
                <w:bCs/>
                <w:sz w:val="20"/>
                <w:szCs w:val="20"/>
                <w:lang w:eastAsia="fr-FR"/>
              </w:rPr>
              <w:t>Agent des services hospitaliers</w:t>
            </w:r>
          </w:p>
        </w:tc>
      </w:tr>
      <w:tr w:rsidR="00E23E51" w14:paraId="1984313D" w14:textId="77777777">
        <w:trPr>
          <w:trHeight w:val="432"/>
        </w:trPr>
        <w:tc>
          <w:tcPr>
            <w:tcW w:w="2581" w:type="dxa"/>
            <w:shd w:val="clear" w:color="auto" w:fill="C6D9F1"/>
            <w:vAlign w:val="center"/>
          </w:tcPr>
          <w:p w14:paraId="235FD05C"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Objectif de formation</w:t>
            </w:r>
          </w:p>
        </w:tc>
        <w:tc>
          <w:tcPr>
            <w:tcW w:w="7232" w:type="dxa"/>
            <w:shd w:val="clear" w:color="auto" w:fill="auto"/>
            <w:vAlign w:val="center"/>
          </w:tcPr>
          <w:p w14:paraId="2DC92B05" w14:textId="77777777" w:rsidR="00E23E51" w:rsidRDefault="00000000">
            <w:pPr>
              <w:tabs>
                <w:tab w:val="left" w:pos="-142"/>
                <w:tab w:val="left" w:pos="4111"/>
              </w:tabs>
              <w:spacing w:after="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Professionnalisation</w:t>
            </w:r>
          </w:p>
        </w:tc>
      </w:tr>
      <w:tr w:rsidR="00E23E51" w14:paraId="6DFA92F4" w14:textId="77777777">
        <w:trPr>
          <w:trHeight w:val="877"/>
        </w:trPr>
        <w:tc>
          <w:tcPr>
            <w:tcW w:w="2581" w:type="dxa"/>
            <w:shd w:val="clear" w:color="auto" w:fill="C6D9F1"/>
            <w:vAlign w:val="center"/>
          </w:tcPr>
          <w:p w14:paraId="7F61C381"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Niveau de sortie de la formation en cas de formation certifiante</w:t>
            </w:r>
          </w:p>
        </w:tc>
        <w:tc>
          <w:tcPr>
            <w:tcW w:w="7232" w:type="dxa"/>
            <w:shd w:val="clear" w:color="auto" w:fill="auto"/>
            <w:vAlign w:val="center"/>
          </w:tcPr>
          <w:p w14:paraId="64961D9A" w14:textId="77777777" w:rsidR="00E23E51" w:rsidRDefault="00000000">
            <w:pPr>
              <w:tabs>
                <w:tab w:val="left" w:pos="-142"/>
                <w:tab w:val="left" w:pos="4111"/>
              </w:tabs>
              <w:spacing w:after="0" w:line="240" w:lineRule="auto"/>
              <w:jc w:val="both"/>
              <w:rPr>
                <w:rFonts w:ascii="Arial" w:eastAsia="Times New Roman" w:hAnsi="Arial" w:cs="Arial"/>
                <w:sz w:val="20"/>
                <w:szCs w:val="20"/>
                <w:lang w:val="fr-FR" w:eastAsia="fr-FR"/>
              </w:rPr>
            </w:pPr>
            <w:r>
              <w:rPr>
                <w:rFonts w:ascii="Arial" w:eastAsia="Arial" w:hAnsi="Arial" w:cs="Arial"/>
                <w:color w:val="000000"/>
                <w:sz w:val="20"/>
                <w:szCs w:val="20"/>
              </w:rPr>
              <w:t>Sans niveau spécifique</w:t>
            </w:r>
          </w:p>
        </w:tc>
      </w:tr>
      <w:tr w:rsidR="00E23E51" w14:paraId="3FE06E50" w14:textId="77777777">
        <w:trPr>
          <w:trHeight w:val="745"/>
        </w:trPr>
        <w:tc>
          <w:tcPr>
            <w:tcW w:w="2581" w:type="dxa"/>
            <w:shd w:val="clear" w:color="auto" w:fill="C6D9F1"/>
            <w:vAlign w:val="center"/>
          </w:tcPr>
          <w:p w14:paraId="40E49E11"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 xml:space="preserve">Prérequis </w:t>
            </w:r>
          </w:p>
        </w:tc>
        <w:tc>
          <w:tcPr>
            <w:tcW w:w="7232" w:type="dxa"/>
            <w:shd w:val="clear" w:color="auto" w:fill="auto"/>
          </w:tcPr>
          <w:p w14:paraId="1D90BCBB"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jc w:val="both"/>
              <w:rPr>
                <w:rFonts w:ascii="Arial" w:hAnsi="Arial" w:cs="Arial"/>
                <w:sz w:val="20"/>
                <w:szCs w:val="20"/>
                <w:lang w:val="fr-FR"/>
              </w:rPr>
            </w:pPr>
            <w:r>
              <w:rPr>
                <w:rFonts w:ascii="Arial" w:eastAsia="Arial" w:hAnsi="Arial" w:cs="Arial"/>
                <w:color w:val="000000"/>
                <w:sz w:val="20"/>
                <w:szCs w:val="20"/>
                <w:lang w:val="fr-FR"/>
              </w:rPr>
              <w:t>Disposer d’une bonne compréhension écrite et oral en français. Une bonne condition physique.</w:t>
            </w:r>
          </w:p>
          <w:p w14:paraId="54A52182"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Accepter les conditions vaccinales nécessaire à l’exercice en établissement de santé.</w:t>
            </w:r>
          </w:p>
          <w:p w14:paraId="5E034E51" w14:textId="77777777" w:rsidR="00E23E51" w:rsidRDefault="00E23E51">
            <w:pPr>
              <w:tabs>
                <w:tab w:val="left" w:pos="-142"/>
                <w:tab w:val="left" w:pos="4111"/>
              </w:tabs>
              <w:spacing w:after="0" w:line="240" w:lineRule="auto"/>
              <w:jc w:val="both"/>
              <w:rPr>
                <w:rFonts w:ascii="Arial" w:eastAsia="Times New Roman" w:hAnsi="Arial" w:cs="Arial"/>
                <w:sz w:val="20"/>
                <w:szCs w:val="20"/>
                <w:lang w:val="fr-FR" w:eastAsia="fr-FR"/>
              </w:rPr>
            </w:pPr>
          </w:p>
        </w:tc>
      </w:tr>
      <w:tr w:rsidR="00E23E51" w14:paraId="34848B45" w14:textId="77777777">
        <w:trPr>
          <w:trHeight w:val="745"/>
        </w:trPr>
        <w:tc>
          <w:tcPr>
            <w:tcW w:w="2581" w:type="dxa"/>
            <w:shd w:val="clear" w:color="auto" w:fill="C6D9F1"/>
            <w:vAlign w:val="center"/>
          </w:tcPr>
          <w:p w14:paraId="1FF4DAB1"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Niveau de qualification minimum des Intervenants</w:t>
            </w:r>
          </w:p>
        </w:tc>
        <w:tc>
          <w:tcPr>
            <w:tcW w:w="7232" w:type="dxa"/>
            <w:shd w:val="clear" w:color="auto" w:fill="auto"/>
          </w:tcPr>
          <w:p w14:paraId="0F7673CC"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Notre groupement est composé de plusieurs organismes, tous conformes aux exigences du référentiel national Qualité (RNQ) garantissant la qualité des actions de formation.</w:t>
            </w:r>
          </w:p>
          <w:p w14:paraId="4E451520"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 </w:t>
            </w:r>
          </w:p>
          <w:p w14:paraId="4B48596C"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Arial" w:hAnsi="Arial" w:cs="Arial"/>
                <w:b/>
                <w:color w:val="000000"/>
                <w:sz w:val="20"/>
                <w:szCs w:val="20"/>
                <w:u w:val="single"/>
                <w:lang w:val="fr-FR"/>
              </w:rPr>
              <w:t>Formateurs</w:t>
            </w:r>
          </w:p>
          <w:p w14:paraId="319B542F"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Les formateurs du groupement sont régulièrement accompagnés dans leur professionnalisation. Tous ont accès à un plan de développement des compétences, et peuvent ainsi développer et diversifier leurs modalités pédagogiques pour les adapter aux évolutions des dispositifs de formation. Les profils peuvent être variés : enseignants certifiés Education Nationale (bac+3), formateurs avec une expérience significative en formation d'adultes, intervenants professionnels…</w:t>
            </w:r>
          </w:p>
          <w:p w14:paraId="2EF961A6"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Ils sont recrutés en fonction de leurs atouts en termes de posture professionnelle, maîtrise des nouvelles modalités de formation, curiosité pédagogique, et expérience technique du métier sur lequel ils interviennent.</w:t>
            </w:r>
          </w:p>
          <w:p w14:paraId="3023D73A"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Leur expérience auprès des demandeurs d’emploi est une réelle plus value : ils ajustent posture et approche au public adulte, comprennent l’impératif d’adaptation aux publics fragilisés, et appréhendent l’enjeu pour ces stagiaires à savoir se (ré) insérer professionnellement, rebondir pour s’assurer une intégration durable dans l’emploi.</w:t>
            </w:r>
          </w:p>
          <w:p w14:paraId="6A048F34" w14:textId="77777777" w:rsidR="00E23E51" w:rsidRDefault="00000000">
            <w:pPr>
              <w:pBdr>
                <w:top w:val="none" w:sz="4" w:space="0" w:color="000000"/>
                <w:left w:val="none" w:sz="4" w:space="0" w:color="000000"/>
                <w:bottom w:val="none" w:sz="4" w:space="0" w:color="000000"/>
                <w:right w:val="none" w:sz="4" w:space="0" w:color="000000"/>
              </w:pBdr>
              <w:jc w:val="both"/>
              <w:rPr>
                <w:rFonts w:ascii="Arial" w:hAnsi="Arial" w:cs="Arial"/>
                <w:sz w:val="20"/>
                <w:szCs w:val="20"/>
                <w:lang w:val="fr-FR"/>
              </w:rPr>
            </w:pPr>
            <w:r>
              <w:rPr>
                <w:rFonts w:ascii="Arial" w:eastAsia="Arial" w:hAnsi="Arial" w:cs="Arial"/>
                <w:b/>
                <w:bCs/>
                <w:color w:val="000000"/>
                <w:sz w:val="20"/>
                <w:szCs w:val="20"/>
                <w:lang w:val="fr-FR"/>
              </w:rPr>
              <w:t>En</w:t>
            </w:r>
            <w:r>
              <w:rPr>
                <w:rFonts w:ascii="Arial" w:eastAsia="Arial" w:hAnsi="Arial" w:cs="Arial"/>
                <w:b/>
                <w:color w:val="000000"/>
                <w:sz w:val="20"/>
                <w:szCs w:val="20"/>
                <w:lang w:val="fr-FR"/>
              </w:rPr>
              <w:t>seignements techniques </w:t>
            </w:r>
            <w:r>
              <w:rPr>
                <w:rFonts w:ascii="Arial" w:eastAsia="Arial" w:hAnsi="Arial" w:cs="Arial"/>
                <w:color w:val="000000"/>
                <w:sz w:val="20"/>
                <w:szCs w:val="20"/>
                <w:lang w:val="fr-FR"/>
              </w:rPr>
              <w:t>: les intervenants disposent d'au moins deux années d'expérience professionnelle dans le métier visé par la formation et/ou de deux années d’expérience en qualité de formateur pour adultes. Ils disposent également des agréments nécessaires pour les professions réglementées.</w:t>
            </w:r>
          </w:p>
          <w:p w14:paraId="4BF6B480" w14:textId="77777777" w:rsidR="00E23E51" w:rsidRDefault="00000000">
            <w:pPr>
              <w:pBdr>
                <w:top w:val="none" w:sz="4" w:space="0" w:color="000000"/>
                <w:left w:val="none" w:sz="4" w:space="0" w:color="000000"/>
                <w:bottom w:val="none" w:sz="4" w:space="0" w:color="000000"/>
                <w:right w:val="none" w:sz="4" w:space="0" w:color="000000"/>
              </w:pBdr>
              <w:jc w:val="both"/>
              <w:rPr>
                <w:rFonts w:ascii="Arial" w:hAnsi="Arial" w:cs="Arial"/>
                <w:sz w:val="20"/>
                <w:szCs w:val="20"/>
                <w:lang w:val="fr-FR"/>
              </w:rPr>
            </w:pPr>
            <w:r>
              <w:rPr>
                <w:rFonts w:ascii="Arial" w:eastAsia="Arial" w:hAnsi="Arial" w:cs="Arial"/>
                <w:b/>
                <w:bCs/>
                <w:color w:val="000000"/>
                <w:sz w:val="20"/>
                <w:szCs w:val="20"/>
                <w:lang w:val="fr-FR"/>
              </w:rPr>
              <w:t>En</w:t>
            </w:r>
            <w:r>
              <w:rPr>
                <w:rFonts w:ascii="Arial" w:eastAsia="Arial" w:hAnsi="Arial" w:cs="Arial"/>
                <w:b/>
                <w:color w:val="000000"/>
                <w:sz w:val="20"/>
                <w:szCs w:val="20"/>
                <w:lang w:val="fr-FR"/>
              </w:rPr>
              <w:t>seignements théoriques dans les matières générales </w:t>
            </w:r>
            <w:r>
              <w:rPr>
                <w:rFonts w:ascii="Arial" w:eastAsia="Arial" w:hAnsi="Arial" w:cs="Arial"/>
                <w:color w:val="000000"/>
                <w:sz w:val="20"/>
                <w:szCs w:val="20"/>
                <w:lang w:val="fr-FR"/>
              </w:rPr>
              <w:t>: les équipes justifient d’un diplôme en lien avec la matière enseignée et/ou d’une expérience de 2 années en enseignement de la matière concernée.</w:t>
            </w:r>
          </w:p>
          <w:p w14:paraId="527780F2" w14:textId="77777777" w:rsidR="00E23E51" w:rsidRDefault="00000000">
            <w:pPr>
              <w:pBdr>
                <w:top w:val="none" w:sz="4" w:space="0" w:color="000000"/>
                <w:left w:val="none" w:sz="4" w:space="0" w:color="000000"/>
                <w:bottom w:val="none" w:sz="4" w:space="0" w:color="000000"/>
                <w:right w:val="none" w:sz="4" w:space="0" w:color="000000"/>
              </w:pBdr>
              <w:jc w:val="both"/>
              <w:rPr>
                <w:rFonts w:ascii="Arial" w:hAnsi="Arial" w:cs="Arial"/>
                <w:sz w:val="20"/>
                <w:szCs w:val="20"/>
                <w:lang w:val="fr-FR"/>
              </w:rPr>
            </w:pPr>
            <w:r>
              <w:rPr>
                <w:rFonts w:ascii="Arial" w:eastAsia="Arial" w:hAnsi="Arial" w:cs="Arial"/>
                <w:color w:val="000000"/>
                <w:sz w:val="20"/>
                <w:szCs w:val="20"/>
                <w:lang w:val="fr-FR"/>
              </w:rPr>
              <w:t xml:space="preserve">Les intervenants mobilisés dans le cadre </w:t>
            </w:r>
            <w:r>
              <w:rPr>
                <w:rFonts w:ascii="Arial" w:eastAsia="Arial" w:hAnsi="Arial" w:cs="Arial"/>
                <w:b/>
                <w:color w:val="000000"/>
                <w:sz w:val="20"/>
                <w:szCs w:val="20"/>
                <w:lang w:val="fr-FR"/>
              </w:rPr>
              <w:t>de l’appui aux stagiaires dans leur recherche d’emploi</w:t>
            </w:r>
            <w:r>
              <w:rPr>
                <w:rFonts w:ascii="Arial" w:eastAsia="Arial" w:hAnsi="Arial" w:cs="Arial"/>
                <w:color w:val="000000"/>
                <w:sz w:val="20"/>
                <w:szCs w:val="20"/>
                <w:lang w:val="fr-FR"/>
              </w:rPr>
              <w:t xml:space="preserve"> et vers une insertion professionnelle durable, connaissent le marché du travail local et les réseaux d'entreprises concernés, et maîtrisent les techniques d'entretien individuel et d'animation de groupe. Ils justifient d’une expérience minimale de 2 ans dans la formation aux techniques de recherche d’emploi. Ils sont également souvent issus de postes de conseillers en insertion professionnelle.</w:t>
            </w:r>
          </w:p>
          <w:p w14:paraId="4D9A93B6" w14:textId="77777777" w:rsidR="00E23E51" w:rsidRDefault="00000000">
            <w:pPr>
              <w:pBdr>
                <w:top w:val="none" w:sz="4" w:space="0" w:color="000000"/>
                <w:left w:val="none" w:sz="4" w:space="0" w:color="000000"/>
                <w:bottom w:val="none" w:sz="4" w:space="0" w:color="000000"/>
                <w:right w:val="none" w:sz="4" w:space="0" w:color="000000"/>
              </w:pBdr>
              <w:jc w:val="both"/>
              <w:rPr>
                <w:rFonts w:ascii="Arial" w:hAnsi="Arial" w:cs="Arial"/>
                <w:sz w:val="20"/>
                <w:szCs w:val="20"/>
                <w:lang w:val="fr-FR"/>
              </w:rPr>
            </w:pPr>
            <w:r>
              <w:rPr>
                <w:rFonts w:ascii="Arial" w:eastAsia="Arial" w:hAnsi="Arial" w:cs="Arial"/>
                <w:b/>
                <w:color w:val="000000"/>
                <w:sz w:val="20"/>
                <w:szCs w:val="20"/>
                <w:lang w:val="fr-FR"/>
              </w:rPr>
              <w:t>Remise à niveau</w:t>
            </w:r>
            <w:r>
              <w:rPr>
                <w:rFonts w:ascii="Arial" w:eastAsia="Arial" w:hAnsi="Arial" w:cs="Arial"/>
                <w:color w:val="000000"/>
                <w:sz w:val="20"/>
                <w:szCs w:val="20"/>
                <w:lang w:val="fr-FR"/>
              </w:rPr>
              <w:t xml:space="preserve"> : les organismes s’appuient sur une équipe pédagogique spécialisée dans la formation d’adultes en difficultés d’apprentissage, avec des modalités pédagogiques dédiées, et justifie à cet égard d’une expérience </w:t>
            </w:r>
            <w:r>
              <w:rPr>
                <w:rFonts w:ascii="Arial" w:eastAsia="Arial" w:hAnsi="Arial" w:cs="Arial"/>
                <w:color w:val="000000"/>
                <w:sz w:val="20"/>
                <w:szCs w:val="20"/>
                <w:lang w:val="fr-FR"/>
              </w:rPr>
              <w:lastRenderedPageBreak/>
              <w:t xml:space="preserve">minimale de 2 années dans l’animation de ces techniques spécifiques et de compétences spécifiques dans la médiation des savoirs de base. </w:t>
            </w:r>
          </w:p>
          <w:p w14:paraId="3E21981D"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Arial" w:hAnsi="Arial" w:cs="Arial"/>
                <w:b/>
                <w:color w:val="000000"/>
                <w:sz w:val="20"/>
                <w:szCs w:val="20"/>
                <w:u w:val="single"/>
                <w:lang w:val="fr-FR"/>
              </w:rPr>
              <w:t>Référent Handicap</w:t>
            </w:r>
          </w:p>
          <w:p w14:paraId="29D57910"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 xml:space="preserve">Parallèlement, un </w:t>
            </w:r>
            <w:r>
              <w:rPr>
                <w:rFonts w:ascii="Arial" w:eastAsia="Arial" w:hAnsi="Arial" w:cs="Arial"/>
                <w:b/>
                <w:color w:val="000000"/>
                <w:sz w:val="20"/>
                <w:szCs w:val="20"/>
                <w:lang w:val="fr-FR"/>
              </w:rPr>
              <w:t>référent handicap</w:t>
            </w:r>
            <w:r>
              <w:rPr>
                <w:rFonts w:ascii="Arial" w:eastAsia="Arial" w:hAnsi="Arial" w:cs="Arial"/>
                <w:color w:val="000000"/>
                <w:sz w:val="20"/>
                <w:szCs w:val="20"/>
                <w:lang w:val="fr-FR"/>
              </w:rPr>
              <w:t xml:space="preserve"> est nommé pour accueillir et accompagner les personnes en situation de handicap et garantir une formation inclusive. Il a suivi les formations prévues l’habilitant sur cette fonction via l’AGEFIPH. Il est inscrit auprès de la Ressource Handicap de la Région Provence Alpes Côte d’azur. Un référent handicap relais peut être identifié pour compléter les accompagnements sur l’ensemble des sites proposés.</w:t>
            </w:r>
          </w:p>
          <w:p w14:paraId="7D921D32"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 </w:t>
            </w:r>
          </w:p>
          <w:p w14:paraId="697704D1" w14:textId="77777777" w:rsidR="00E23E51" w:rsidRDefault="00000000">
            <w:pPr>
              <w:pBdr>
                <w:top w:val="none" w:sz="4" w:space="0" w:color="000000"/>
                <w:left w:val="none" w:sz="4" w:space="0" w:color="000000"/>
                <w:bottom w:val="none" w:sz="4" w:space="0" w:color="000000"/>
                <w:right w:val="none" w:sz="4" w:space="0" w:color="000000"/>
              </w:pBdr>
              <w:spacing w:after="0"/>
              <w:jc w:val="both"/>
              <w:rPr>
                <w:rFonts w:ascii="Arial" w:hAnsi="Arial" w:cs="Arial"/>
                <w:sz w:val="20"/>
                <w:szCs w:val="20"/>
                <w:lang w:val="fr-FR"/>
              </w:rPr>
            </w:pPr>
            <w:r>
              <w:rPr>
                <w:rFonts w:ascii="Arial" w:eastAsia="Arial" w:hAnsi="Arial" w:cs="Arial"/>
                <w:b/>
                <w:color w:val="000000"/>
                <w:sz w:val="20"/>
                <w:szCs w:val="20"/>
                <w:u w:val="single"/>
                <w:lang w:val="fr-FR"/>
              </w:rPr>
              <w:t>Coordinateur pédagogique</w:t>
            </w:r>
          </w:p>
          <w:p w14:paraId="1600B74C" w14:textId="77777777" w:rsidR="00E23E51" w:rsidRDefault="00000000">
            <w:pPr>
              <w:tabs>
                <w:tab w:val="left" w:pos="-142"/>
                <w:tab w:val="left" w:pos="4111"/>
              </w:tabs>
              <w:spacing w:after="0" w:line="240" w:lineRule="auto"/>
              <w:jc w:val="both"/>
              <w:rPr>
                <w:rFonts w:ascii="Arial" w:eastAsia="Times New Roman" w:hAnsi="Arial" w:cs="Arial"/>
                <w:sz w:val="20"/>
                <w:szCs w:val="20"/>
                <w:lang w:val="fr-FR" w:eastAsia="fr-FR"/>
              </w:rPr>
            </w:pPr>
            <w:r>
              <w:rPr>
                <w:rFonts w:ascii="Arial" w:eastAsia="Arial" w:hAnsi="Arial" w:cs="Arial"/>
                <w:color w:val="000000"/>
                <w:sz w:val="20"/>
                <w:szCs w:val="20"/>
                <w:lang w:val="fr-FR"/>
              </w:rPr>
              <w:t>Le coordinateur pédagogique et/ou le responsable de la formation assurent le bon déroulement des formations, facilitent les échanges, gèrent les conflits, optimisent les procédures, évaluent les dispositifs de formation, garantissent la validité des certifications et actualisent les référentiels. Il est en lien avec le référent marché qui intervient dans les équipes du mandataire et qui coordonne les actions avec France Travail, assure la qualité des prestations, consolide les livrables et organise des comités de pilotage si nécessaire</w:t>
            </w:r>
          </w:p>
        </w:tc>
      </w:tr>
      <w:tr w:rsidR="00E23E51" w14:paraId="32E6C394" w14:textId="77777777">
        <w:trPr>
          <w:trHeight w:val="841"/>
        </w:trPr>
        <w:tc>
          <w:tcPr>
            <w:tcW w:w="2581" w:type="dxa"/>
            <w:shd w:val="clear" w:color="auto" w:fill="C6D9F1"/>
            <w:vAlign w:val="center"/>
          </w:tcPr>
          <w:p w14:paraId="5BDF936E"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lastRenderedPageBreak/>
              <w:t>Format hybride complémentaire</w:t>
            </w:r>
          </w:p>
        </w:tc>
        <w:tc>
          <w:tcPr>
            <w:tcW w:w="7232" w:type="dxa"/>
            <w:shd w:val="clear" w:color="auto" w:fill="auto"/>
          </w:tcPr>
          <w:p w14:paraId="2B27DA19" w14:textId="77777777" w:rsidR="00E23E51" w:rsidRDefault="00000000">
            <w:pPr>
              <w:tabs>
                <w:tab w:val="left" w:pos="-142"/>
                <w:tab w:val="left" w:pos="4111"/>
              </w:tabs>
              <w:spacing w:after="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Sans objet</w:t>
            </w:r>
          </w:p>
        </w:tc>
      </w:tr>
      <w:tr w:rsidR="00E23E51" w14:paraId="49692A07" w14:textId="77777777">
        <w:trPr>
          <w:trHeight w:val="554"/>
        </w:trPr>
        <w:tc>
          <w:tcPr>
            <w:tcW w:w="2581" w:type="dxa"/>
            <w:shd w:val="clear" w:color="auto" w:fill="C6D9F1"/>
            <w:vAlign w:val="center"/>
          </w:tcPr>
          <w:p w14:paraId="59E9DE14"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Objectifs pédagogiques (compétences)</w:t>
            </w:r>
          </w:p>
        </w:tc>
        <w:tc>
          <w:tcPr>
            <w:tcW w:w="7232" w:type="dxa"/>
            <w:shd w:val="clear" w:color="auto" w:fill="auto"/>
          </w:tcPr>
          <w:p w14:paraId="7BF992E2" w14:textId="77777777" w:rsidR="00E23E51"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445"/>
                <w:tab w:val="left" w:pos="6989"/>
              </w:tabs>
              <w:spacing w:after="0"/>
              <w:jc w:val="both"/>
              <w:rPr>
                <w:rFonts w:ascii="Arial" w:hAnsi="Arial" w:cs="Arial"/>
                <w:sz w:val="20"/>
                <w:szCs w:val="20"/>
                <w:lang w:val="fr-FR"/>
              </w:rPr>
            </w:pPr>
            <w:r>
              <w:rPr>
                <w:rFonts w:ascii="Arial" w:eastAsia="Arial" w:hAnsi="Arial" w:cs="Arial"/>
                <w:color w:val="000000"/>
                <w:sz w:val="20"/>
                <w:szCs w:val="20"/>
                <w:lang w:val="fr-FR"/>
              </w:rPr>
              <w:t>Connaître la spécificité du secteur hospitalier (organisation, structures et déontologie)</w:t>
            </w:r>
          </w:p>
          <w:p w14:paraId="3084DE57" w14:textId="77777777" w:rsidR="00E23E51"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445"/>
                <w:tab w:val="left" w:pos="6989"/>
              </w:tabs>
              <w:spacing w:after="0"/>
              <w:jc w:val="both"/>
              <w:rPr>
                <w:rFonts w:ascii="Arial" w:hAnsi="Arial" w:cs="Arial"/>
                <w:sz w:val="20"/>
                <w:szCs w:val="20"/>
                <w:lang w:val="fr-FR"/>
              </w:rPr>
            </w:pPr>
            <w:r>
              <w:rPr>
                <w:rFonts w:ascii="Arial" w:eastAsia="Arial" w:hAnsi="Arial" w:cs="Arial"/>
                <w:color w:val="000000"/>
                <w:sz w:val="20"/>
                <w:szCs w:val="20"/>
                <w:lang w:val="fr-FR"/>
              </w:rPr>
              <w:t>Effectuer le nettoyage, l’entretien et l’hygiène des chambres patients et des parties commune dans le respect des règles et protocoles hospitaliers</w:t>
            </w:r>
          </w:p>
          <w:p w14:paraId="74527B5B" w14:textId="77777777" w:rsidR="00E23E51"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445"/>
                <w:tab w:val="left" w:pos="6989"/>
              </w:tabs>
              <w:spacing w:after="0"/>
              <w:jc w:val="both"/>
              <w:rPr>
                <w:rFonts w:ascii="Arial" w:hAnsi="Arial" w:cs="Arial"/>
                <w:sz w:val="20"/>
                <w:szCs w:val="20"/>
                <w:lang w:val="fr-FR"/>
              </w:rPr>
            </w:pPr>
            <w:r>
              <w:rPr>
                <w:rFonts w:ascii="Arial" w:eastAsia="Arial" w:hAnsi="Arial" w:cs="Arial"/>
                <w:color w:val="000000"/>
                <w:sz w:val="20"/>
                <w:szCs w:val="20"/>
                <w:lang w:val="fr-FR"/>
              </w:rPr>
              <w:t>Effectuer le service des repas.</w:t>
            </w:r>
          </w:p>
          <w:p w14:paraId="1B534467" w14:textId="77777777" w:rsidR="00E23E51"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445"/>
                <w:tab w:val="left" w:pos="6989"/>
              </w:tabs>
              <w:spacing w:after="0"/>
              <w:jc w:val="both"/>
              <w:rPr>
                <w:rFonts w:ascii="Arial" w:hAnsi="Arial" w:cs="Arial"/>
                <w:sz w:val="20"/>
                <w:szCs w:val="20"/>
                <w:lang w:val="fr-FR"/>
              </w:rPr>
            </w:pPr>
            <w:r>
              <w:rPr>
                <w:rFonts w:ascii="Arial" w:eastAsia="Arial" w:hAnsi="Arial" w:cs="Arial"/>
                <w:color w:val="000000"/>
                <w:sz w:val="20"/>
                <w:szCs w:val="20"/>
                <w:lang w:val="fr-FR"/>
              </w:rPr>
              <w:t>Participer à la gestion des produits d’entretien et alimentaires</w:t>
            </w:r>
          </w:p>
          <w:p w14:paraId="6473DE16" w14:textId="77777777" w:rsidR="00E23E51"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445"/>
                <w:tab w:val="left" w:pos="6989"/>
              </w:tabs>
              <w:spacing w:after="0"/>
              <w:jc w:val="both"/>
              <w:rPr>
                <w:rFonts w:ascii="Arial" w:hAnsi="Arial" w:cs="Arial"/>
                <w:sz w:val="20"/>
                <w:szCs w:val="20"/>
                <w:lang w:val="fr-FR"/>
              </w:rPr>
            </w:pPr>
            <w:r>
              <w:rPr>
                <w:rFonts w:ascii="Arial" w:eastAsia="Arial" w:hAnsi="Arial" w:cs="Arial"/>
                <w:color w:val="000000"/>
                <w:sz w:val="20"/>
                <w:szCs w:val="20"/>
                <w:lang w:val="fr-FR"/>
              </w:rPr>
              <w:t>Planifier, organiser et effectuer les différentes missions de service dans le respect de l’environnement et de l’utilisation des ressources.</w:t>
            </w:r>
          </w:p>
          <w:p w14:paraId="4C1BD473" w14:textId="77777777" w:rsidR="00E23E51"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445"/>
                <w:tab w:val="left" w:pos="6989"/>
              </w:tabs>
              <w:spacing w:after="0"/>
              <w:jc w:val="both"/>
              <w:rPr>
                <w:rFonts w:ascii="Arial" w:hAnsi="Arial" w:cs="Arial"/>
                <w:sz w:val="20"/>
                <w:szCs w:val="20"/>
                <w:lang w:val="fr-FR"/>
              </w:rPr>
            </w:pPr>
            <w:r>
              <w:rPr>
                <w:rFonts w:ascii="Arial" w:eastAsia="Arial" w:hAnsi="Arial" w:cs="Arial"/>
                <w:color w:val="000000"/>
                <w:sz w:val="20"/>
                <w:szCs w:val="20"/>
                <w:lang w:val="fr-FR"/>
              </w:rPr>
              <w:t>Développer des capacités relationnelles spécifiques au secteur Sanitaire et Social au sein de l’équipe pluridisciplinaire ainsi qu’avec le patient/résident et son entourage.</w:t>
            </w:r>
          </w:p>
          <w:p w14:paraId="62B20D2D" w14:textId="77777777" w:rsidR="00E23E51"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445"/>
                <w:tab w:val="left" w:pos="6989"/>
              </w:tabs>
              <w:spacing w:after="0"/>
              <w:jc w:val="both"/>
              <w:rPr>
                <w:rFonts w:ascii="Arial" w:hAnsi="Arial" w:cs="Arial"/>
                <w:sz w:val="20"/>
                <w:szCs w:val="20"/>
              </w:rPr>
            </w:pPr>
            <w:r>
              <w:rPr>
                <w:rFonts w:ascii="Arial" w:eastAsia="Arial" w:hAnsi="Arial" w:cs="Arial"/>
                <w:color w:val="000000"/>
                <w:sz w:val="20"/>
                <w:szCs w:val="20"/>
              </w:rPr>
              <w:t xml:space="preserve">Travailler individuellement ou en équipe </w:t>
            </w:r>
          </w:p>
          <w:p w14:paraId="63B06989" w14:textId="77777777" w:rsidR="00E23E51" w:rsidRDefault="00000000">
            <w:pPr>
              <w:numPr>
                <w:ilvl w:val="0"/>
                <w:numId w:val="1"/>
              </w:numPr>
              <w:pBdr>
                <w:top w:val="none" w:sz="4" w:space="0" w:color="000000"/>
                <w:left w:val="none" w:sz="4" w:space="0" w:color="000000"/>
                <w:bottom w:val="none" w:sz="4" w:space="0" w:color="000000"/>
                <w:right w:val="none" w:sz="4" w:space="0" w:color="000000"/>
                <w:between w:val="none" w:sz="4" w:space="0" w:color="000000"/>
              </w:pBdr>
              <w:tabs>
                <w:tab w:val="left" w:pos="3445"/>
                <w:tab w:val="left" w:pos="6989"/>
              </w:tabs>
              <w:spacing w:after="0"/>
              <w:jc w:val="both"/>
              <w:rPr>
                <w:rFonts w:ascii="Arial" w:hAnsi="Arial" w:cs="Arial"/>
                <w:sz w:val="20"/>
                <w:szCs w:val="20"/>
                <w:lang w:val="fr-FR"/>
              </w:rPr>
            </w:pPr>
            <w:r>
              <w:rPr>
                <w:rFonts w:ascii="Arial" w:eastAsia="Arial" w:hAnsi="Arial" w:cs="Arial"/>
                <w:color w:val="000000"/>
                <w:sz w:val="20"/>
                <w:szCs w:val="20"/>
                <w:lang w:val="fr-FR"/>
              </w:rPr>
              <w:t>Appliquer les gestes de premier secours et gérer l’alerte des intervenants (SST)</w:t>
            </w:r>
          </w:p>
          <w:p w14:paraId="01CDA615" w14:textId="77777777" w:rsidR="00E23E51" w:rsidRDefault="00E23E51">
            <w:pPr>
              <w:tabs>
                <w:tab w:val="left" w:pos="-142"/>
                <w:tab w:val="left" w:pos="4111"/>
              </w:tabs>
              <w:spacing w:after="0" w:line="240" w:lineRule="auto"/>
              <w:jc w:val="both"/>
              <w:rPr>
                <w:rFonts w:ascii="Arial" w:eastAsia="Times New Roman" w:hAnsi="Arial" w:cs="Arial"/>
                <w:sz w:val="20"/>
                <w:szCs w:val="20"/>
                <w:lang w:val="fr-FR" w:eastAsia="fr-FR"/>
              </w:rPr>
            </w:pPr>
          </w:p>
        </w:tc>
      </w:tr>
      <w:tr w:rsidR="00E23E51" w14:paraId="3B873E92" w14:textId="77777777">
        <w:trPr>
          <w:trHeight w:val="1401"/>
        </w:trPr>
        <w:tc>
          <w:tcPr>
            <w:tcW w:w="2581" w:type="dxa"/>
            <w:shd w:val="clear" w:color="auto" w:fill="C6D9F1"/>
            <w:vAlign w:val="center"/>
          </w:tcPr>
          <w:p w14:paraId="627E2370"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Contenu de la formation, méthodes pédagogiques mises en œuvre et outils mobilisés pour développer les savoirs et savoir-faire attendus dans le métier préparé par la formation</w:t>
            </w:r>
          </w:p>
        </w:tc>
        <w:tc>
          <w:tcPr>
            <w:tcW w:w="7232" w:type="dxa"/>
            <w:shd w:val="clear" w:color="auto" w:fill="auto"/>
            <w:vAlign w:val="center"/>
          </w:tcPr>
          <w:p w14:paraId="1C2268D0"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08"/>
              </w:tabs>
              <w:spacing w:after="0" w:line="240" w:lineRule="auto"/>
              <w:jc w:val="both"/>
              <w:rPr>
                <w:rFonts w:ascii="Arial" w:eastAsia="Calibri" w:hAnsi="Arial" w:cs="Arial"/>
                <w:b/>
                <w:color w:val="0070C0"/>
                <w:sz w:val="20"/>
                <w:szCs w:val="20"/>
                <w:lang w:val="fr-FR"/>
              </w:rPr>
            </w:pPr>
            <w:r>
              <w:rPr>
                <w:rFonts w:ascii="Arial" w:eastAsia="Calibri" w:hAnsi="Arial" w:cs="Arial"/>
                <w:color w:val="000000"/>
                <w:sz w:val="20"/>
                <w:szCs w:val="20"/>
                <w:lang w:val="fr-FR"/>
              </w:rPr>
              <w:t> </w:t>
            </w:r>
            <w:r>
              <w:rPr>
                <w:rFonts w:ascii="Arial" w:eastAsia="Calibri" w:hAnsi="Arial" w:cs="Arial"/>
                <w:b/>
                <w:color w:val="0070C0"/>
                <w:sz w:val="20"/>
                <w:szCs w:val="20"/>
                <w:lang w:val="fr-FR"/>
              </w:rPr>
              <w:t>1/ CONTENUS</w:t>
            </w:r>
          </w:p>
          <w:p w14:paraId="6F1BC754"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Arial" w:hAnsi="Arial" w:cs="Arial"/>
                <w:b/>
                <w:color w:val="000000"/>
                <w:sz w:val="20"/>
                <w:szCs w:val="20"/>
                <w:lang w:val="fr-FR"/>
              </w:rPr>
              <w:t>Intégration – 14h</w:t>
            </w:r>
          </w:p>
          <w:p w14:paraId="17BAE491" w14:textId="77777777" w:rsidR="00E23E51" w:rsidRDefault="00000000">
            <w:pPr>
              <w:pBdr>
                <w:top w:val="none" w:sz="4" w:space="0" w:color="000000"/>
                <w:left w:val="none" w:sz="4" w:space="0" w:color="000000"/>
                <w:bottom w:val="none" w:sz="4" w:space="0" w:color="000000"/>
                <w:right w:val="none" w:sz="4" w:space="0" w:color="000000"/>
                <w:between w:val="none" w:sz="4" w:space="0" w:color="000000"/>
              </w:pBdr>
              <w:tabs>
                <w:tab w:val="left" w:pos="1285"/>
                <w:tab w:val="left" w:pos="4828"/>
              </w:tabs>
              <w:spacing w:after="0"/>
              <w:rPr>
                <w:rFonts w:ascii="Arial" w:hAnsi="Arial" w:cs="Arial"/>
                <w:sz w:val="20"/>
                <w:szCs w:val="20"/>
                <w:lang w:val="fr-FR"/>
              </w:rPr>
            </w:pPr>
            <w:r>
              <w:rPr>
                <w:rFonts w:ascii="Arial" w:eastAsia="Arial" w:hAnsi="Arial" w:cs="Arial"/>
                <w:color w:val="000000"/>
                <w:sz w:val="20"/>
                <w:szCs w:val="20"/>
                <w:lang w:val="fr-FR"/>
              </w:rPr>
              <w:t xml:space="preserve">Se présenter et formuler ses attentes - S’approprier les objectifs de formation-S’identifier au groupe : prendre sa place en tant que stagiaire-Intégrer le planning de formation-Se former à l’utilisation de l’espace numérique de travail </w:t>
            </w:r>
          </w:p>
          <w:p w14:paraId="77DF5CAC"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Calibri" w:hAnsi="Arial" w:cs="Arial"/>
                <w:color w:val="000000"/>
                <w:sz w:val="20"/>
                <w:szCs w:val="20"/>
                <w:lang w:val="fr-FR"/>
              </w:rPr>
              <w:t> </w:t>
            </w:r>
          </w:p>
          <w:p w14:paraId="4EF3360F"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Arial" w:hAnsi="Arial" w:cs="Arial"/>
                <w:b/>
                <w:color w:val="000000"/>
                <w:sz w:val="20"/>
                <w:szCs w:val="20"/>
                <w:lang w:val="fr-FR"/>
              </w:rPr>
              <w:t xml:space="preserve">Module 1 : </w:t>
            </w:r>
            <w:r>
              <w:rPr>
                <w:rFonts w:ascii="Arial" w:eastAsia="Arial" w:hAnsi="Arial" w:cs="Arial"/>
                <w:color w:val="000000"/>
                <w:sz w:val="20"/>
                <w:szCs w:val="20"/>
                <w:lang w:val="fr-FR"/>
              </w:rPr>
              <w:t> </w:t>
            </w:r>
            <w:r>
              <w:rPr>
                <w:rFonts w:ascii="Arial" w:eastAsia="Arial" w:hAnsi="Arial" w:cs="Arial"/>
                <w:b/>
                <w:color w:val="000000"/>
                <w:sz w:val="20"/>
                <w:szCs w:val="20"/>
                <w:lang w:val="fr-FR"/>
              </w:rPr>
              <w:t>Découvrir le métier d’Agent de Service Hospitalier – 26h</w:t>
            </w:r>
          </w:p>
          <w:p w14:paraId="636DB5CA" w14:textId="77777777" w:rsidR="00E23E51" w:rsidRDefault="00000000">
            <w:pPr>
              <w:pBdr>
                <w:top w:val="none" w:sz="4" w:space="0" w:color="000000"/>
                <w:left w:val="none" w:sz="4" w:space="0" w:color="000000"/>
                <w:bottom w:val="none" w:sz="4" w:space="0" w:color="000000"/>
                <w:right w:val="none" w:sz="4" w:space="0" w:color="000000"/>
                <w:between w:val="none" w:sz="4" w:space="0" w:color="000000"/>
              </w:pBdr>
              <w:tabs>
                <w:tab w:val="left" w:pos="1285"/>
                <w:tab w:val="left" w:pos="4828"/>
              </w:tabs>
              <w:spacing w:after="0"/>
              <w:rPr>
                <w:rFonts w:ascii="Arial" w:hAnsi="Arial" w:cs="Arial"/>
                <w:sz w:val="20"/>
                <w:szCs w:val="20"/>
                <w:lang w:val="fr-FR"/>
              </w:rPr>
            </w:pPr>
            <w:r>
              <w:rPr>
                <w:rFonts w:ascii="Arial" w:eastAsia="Arial" w:hAnsi="Arial" w:cs="Arial"/>
                <w:color w:val="000000"/>
                <w:sz w:val="20"/>
                <w:szCs w:val="20"/>
                <w:lang w:val="fr-FR"/>
              </w:rPr>
              <w:t>Définir le champ d’intervention de l’ASH et ses limites-Identifier la place de l’ASH dans l’équipe pluridisciplinaire-Identifier le cadre professionnel, ses règles, ses contraintes</w:t>
            </w:r>
          </w:p>
          <w:p w14:paraId="02E3E625"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Calibri" w:hAnsi="Arial" w:cs="Arial"/>
                <w:color w:val="000000"/>
                <w:sz w:val="20"/>
                <w:szCs w:val="20"/>
                <w:lang w:val="fr-FR"/>
              </w:rPr>
              <w:t> </w:t>
            </w:r>
          </w:p>
          <w:p w14:paraId="7C00D229"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Arial" w:hAnsi="Arial" w:cs="Arial"/>
                <w:b/>
                <w:color w:val="000000"/>
                <w:sz w:val="20"/>
                <w:szCs w:val="20"/>
                <w:lang w:val="fr-FR"/>
              </w:rPr>
              <w:t>Module 2 : Connaître le cadre règlementaire des établissements de santé – 49h</w:t>
            </w:r>
          </w:p>
          <w:p w14:paraId="468B5BFE" w14:textId="77777777" w:rsidR="00E23E51" w:rsidRDefault="00000000">
            <w:pPr>
              <w:pBdr>
                <w:top w:val="none" w:sz="4" w:space="0" w:color="000000"/>
                <w:left w:val="none" w:sz="4" w:space="0" w:color="000000"/>
                <w:bottom w:val="none" w:sz="4" w:space="0" w:color="000000"/>
                <w:right w:val="none" w:sz="4" w:space="0" w:color="000000"/>
                <w:between w:val="none" w:sz="4" w:space="0" w:color="000000"/>
              </w:pBdr>
              <w:tabs>
                <w:tab w:val="left" w:pos="1285"/>
                <w:tab w:val="left" w:pos="4828"/>
              </w:tabs>
              <w:spacing w:after="0"/>
              <w:rPr>
                <w:rFonts w:ascii="Arial" w:hAnsi="Arial" w:cs="Arial"/>
                <w:sz w:val="20"/>
                <w:szCs w:val="20"/>
                <w:lang w:val="fr-FR"/>
              </w:rPr>
            </w:pPr>
            <w:r>
              <w:rPr>
                <w:rFonts w:ascii="Arial" w:eastAsia="Arial" w:hAnsi="Arial" w:cs="Arial"/>
                <w:color w:val="000000"/>
                <w:sz w:val="20"/>
                <w:szCs w:val="20"/>
                <w:lang w:val="fr-FR"/>
              </w:rPr>
              <w:lastRenderedPageBreak/>
              <w:t>S’approprier l’organisation des établissements de santé publics et privés- Identifier les risques professionnels : risques biologiques, risques chimiques, nuisances pour l’environnement extérieur.</w:t>
            </w:r>
          </w:p>
          <w:p w14:paraId="6B54FBCF"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Calibri" w:hAnsi="Arial" w:cs="Arial"/>
                <w:color w:val="000000"/>
                <w:sz w:val="20"/>
                <w:szCs w:val="20"/>
                <w:lang w:val="fr-FR"/>
              </w:rPr>
              <w:t> </w:t>
            </w:r>
          </w:p>
          <w:p w14:paraId="364D1A8D"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Arial" w:hAnsi="Arial" w:cs="Arial"/>
                <w:b/>
                <w:color w:val="000000"/>
                <w:sz w:val="20"/>
                <w:szCs w:val="20"/>
                <w:lang w:val="fr-FR"/>
              </w:rPr>
              <w:t>Module 3 : Etablir une relation professionnelle – 49h</w:t>
            </w:r>
          </w:p>
          <w:p w14:paraId="470071DB" w14:textId="77777777" w:rsidR="00E23E51" w:rsidRDefault="00000000">
            <w:pPr>
              <w:pBdr>
                <w:top w:val="none" w:sz="4" w:space="0" w:color="000000"/>
                <w:left w:val="none" w:sz="4" w:space="0" w:color="000000"/>
                <w:bottom w:val="none" w:sz="4" w:space="0" w:color="000000"/>
                <w:right w:val="none" w:sz="4" w:space="0" w:color="000000"/>
                <w:between w:val="none" w:sz="4" w:space="0" w:color="000000"/>
              </w:pBdr>
              <w:tabs>
                <w:tab w:val="left" w:pos="1285"/>
                <w:tab w:val="left" w:pos="4828"/>
              </w:tabs>
              <w:spacing w:after="0"/>
              <w:rPr>
                <w:rFonts w:ascii="Arial" w:hAnsi="Arial" w:cs="Arial"/>
                <w:sz w:val="20"/>
                <w:szCs w:val="20"/>
                <w:lang w:val="fr-FR"/>
              </w:rPr>
            </w:pPr>
            <w:r>
              <w:rPr>
                <w:rFonts w:ascii="Arial" w:eastAsia="Arial" w:hAnsi="Arial" w:cs="Arial"/>
                <w:color w:val="000000"/>
                <w:sz w:val="20"/>
                <w:szCs w:val="20"/>
                <w:lang w:val="fr-FR"/>
              </w:rPr>
              <w:t>Communiquer avec le patient/résident, son entourage-Communiquer avec l’équipe professionnelle-Identifier les différents types de publics du secteur sanitaire et social-Comprendre la psychologie de la personne malade</w:t>
            </w:r>
          </w:p>
          <w:p w14:paraId="771CC834"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Calibri" w:hAnsi="Arial" w:cs="Arial"/>
                <w:color w:val="000000"/>
                <w:sz w:val="20"/>
                <w:szCs w:val="20"/>
                <w:lang w:val="fr-FR"/>
              </w:rPr>
              <w:t> </w:t>
            </w:r>
          </w:p>
          <w:p w14:paraId="26397771"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Arial" w:hAnsi="Arial" w:cs="Arial"/>
                <w:b/>
                <w:color w:val="000000"/>
                <w:sz w:val="20"/>
                <w:szCs w:val="20"/>
                <w:lang w:val="fr-FR"/>
              </w:rPr>
              <w:t>Module 4 : Appliquer les règles d’hygiène et de sécurité – 81 h</w:t>
            </w:r>
          </w:p>
          <w:p w14:paraId="05A7E9F8" w14:textId="77777777" w:rsidR="00E23E51" w:rsidRDefault="00000000">
            <w:pPr>
              <w:pBdr>
                <w:top w:val="none" w:sz="4" w:space="0" w:color="000000"/>
                <w:left w:val="none" w:sz="4" w:space="0" w:color="000000"/>
                <w:bottom w:val="none" w:sz="4" w:space="0" w:color="000000"/>
                <w:right w:val="none" w:sz="4" w:space="0" w:color="000000"/>
                <w:between w:val="none" w:sz="4" w:space="0" w:color="000000"/>
              </w:pBdr>
              <w:tabs>
                <w:tab w:val="left" w:pos="1285"/>
                <w:tab w:val="left" w:pos="4828"/>
              </w:tabs>
              <w:spacing w:after="0"/>
              <w:rPr>
                <w:rFonts w:ascii="Arial" w:hAnsi="Arial" w:cs="Arial"/>
                <w:sz w:val="20"/>
                <w:szCs w:val="20"/>
                <w:lang w:val="fr-FR"/>
              </w:rPr>
            </w:pPr>
            <w:r>
              <w:rPr>
                <w:rFonts w:ascii="Arial" w:eastAsia="Arial" w:hAnsi="Arial" w:cs="Arial"/>
                <w:color w:val="000000"/>
                <w:sz w:val="20"/>
                <w:szCs w:val="20"/>
                <w:lang w:val="fr-FR"/>
              </w:rPr>
              <w:t>Hygiène personnelle : adapter sa tenue professionnelle en fonction du lieu d’intervention (zone à risque), s’approprier les règles d’hygiène individuelle et les appliquer (différents lavages)-Hygiène des locaux : pratiquer le bionettoyage, entretenir le matériel, utiliser les produits (notions de concentration et dilution) et les stocker en respectant les règles de sécurité (notions de risques, classification des zones en fonction du risque infectieux)-Hygiène et entretien des chambres : Désinfecter les chambres, Effectuer la réfection des lits en collaboration avec l’aide-soignante. Effectuer une chambre à blanc. Effectuer l’entretien courant des sanitaires.</w:t>
            </w:r>
          </w:p>
          <w:p w14:paraId="15C78040"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Calibri" w:hAnsi="Arial" w:cs="Arial"/>
                <w:color w:val="000000"/>
                <w:sz w:val="20"/>
                <w:szCs w:val="20"/>
                <w:lang w:val="fr-FR"/>
              </w:rPr>
              <w:t> </w:t>
            </w:r>
          </w:p>
          <w:p w14:paraId="218FD0B9"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Arial" w:hAnsi="Arial" w:cs="Arial"/>
                <w:b/>
                <w:color w:val="000000"/>
                <w:sz w:val="20"/>
                <w:szCs w:val="20"/>
                <w:lang w:val="fr-FR"/>
              </w:rPr>
              <w:t>Module 5 : Participer à l’activité hôtelière et à sa gestion – 36 h</w:t>
            </w:r>
          </w:p>
          <w:p w14:paraId="254708E6" w14:textId="77777777" w:rsidR="00E23E51" w:rsidRDefault="00000000">
            <w:pPr>
              <w:pBdr>
                <w:top w:val="none" w:sz="4" w:space="0" w:color="000000"/>
                <w:left w:val="none" w:sz="4" w:space="0" w:color="000000"/>
                <w:bottom w:val="none" w:sz="4" w:space="0" w:color="000000"/>
                <w:right w:val="none" w:sz="4" w:space="0" w:color="000000"/>
                <w:between w:val="none" w:sz="4" w:space="0" w:color="000000"/>
              </w:pBdr>
              <w:tabs>
                <w:tab w:val="left" w:pos="1285"/>
                <w:tab w:val="left" w:pos="4828"/>
              </w:tabs>
              <w:spacing w:after="0"/>
              <w:rPr>
                <w:rFonts w:ascii="Arial" w:hAnsi="Arial" w:cs="Arial"/>
                <w:sz w:val="20"/>
                <w:szCs w:val="20"/>
                <w:lang w:val="fr-FR"/>
              </w:rPr>
            </w:pPr>
            <w:r>
              <w:rPr>
                <w:rFonts w:ascii="Arial" w:eastAsia="Arial" w:hAnsi="Arial" w:cs="Arial"/>
                <w:color w:val="000000"/>
                <w:sz w:val="20"/>
                <w:szCs w:val="20"/>
                <w:lang w:val="fr-FR"/>
              </w:rPr>
              <w:t>Comprendre les techniques d’alimentation : diététique, équilibre des repas, adaptation des repas conforme à un régime alimentaire, prise en compte des goûts, de l’âge et des habitudes socio-culturelles-Participer à l’activité hôtelière : prévoir les menus, assurer la liaison avec le service des cuisines, préparer et mettre en plat, mettre en température, servir le petit déjeuner et des repas, gérer la vaisselle-Participer à la gestion des stocks d’entretien et alimentaire : inventorier les stocks et approvisionner. Réceptionner et ranger les livraisons.</w:t>
            </w:r>
          </w:p>
          <w:p w14:paraId="312D222B" w14:textId="77777777" w:rsidR="00E23E51" w:rsidRDefault="00000000">
            <w:pPr>
              <w:pBdr>
                <w:top w:val="none" w:sz="4" w:space="0" w:color="000000"/>
                <w:left w:val="none" w:sz="4" w:space="0" w:color="000000"/>
                <w:bottom w:val="none" w:sz="4" w:space="0" w:color="000000"/>
                <w:right w:val="none" w:sz="4" w:space="0" w:color="000000"/>
                <w:between w:val="none" w:sz="4" w:space="0" w:color="000000"/>
              </w:pBdr>
              <w:tabs>
                <w:tab w:val="left" w:pos="3445"/>
                <w:tab w:val="left" w:pos="6989"/>
              </w:tabs>
              <w:spacing w:after="0"/>
              <w:rPr>
                <w:rFonts w:ascii="Arial" w:hAnsi="Arial" w:cs="Arial"/>
                <w:sz w:val="20"/>
                <w:szCs w:val="20"/>
                <w:lang w:val="fr-FR"/>
              </w:rPr>
            </w:pPr>
            <w:r>
              <w:rPr>
                <w:rFonts w:ascii="Arial" w:eastAsia="Calibri" w:hAnsi="Arial" w:cs="Arial"/>
                <w:color w:val="000000"/>
                <w:sz w:val="20"/>
                <w:szCs w:val="20"/>
                <w:lang w:val="fr-FR"/>
              </w:rPr>
              <w:t> </w:t>
            </w:r>
          </w:p>
          <w:p w14:paraId="2B849175"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Arial" w:hAnsi="Arial" w:cs="Arial"/>
                <w:b/>
                <w:color w:val="000000"/>
                <w:sz w:val="20"/>
                <w:szCs w:val="20"/>
                <w:lang w:val="fr-FR"/>
              </w:rPr>
              <w:t>Module 6 : Analyser l’ergonomie d’une situation de travail – 24h</w:t>
            </w:r>
          </w:p>
          <w:p w14:paraId="17CCF412" w14:textId="77777777" w:rsidR="00E23E51" w:rsidRDefault="00000000">
            <w:pPr>
              <w:pBdr>
                <w:top w:val="none" w:sz="4" w:space="0" w:color="000000"/>
                <w:left w:val="none" w:sz="4" w:space="0" w:color="000000"/>
                <w:bottom w:val="none" w:sz="4" w:space="0" w:color="000000"/>
                <w:right w:val="none" w:sz="4" w:space="0" w:color="000000"/>
                <w:between w:val="none" w:sz="4" w:space="0" w:color="000000"/>
              </w:pBdr>
              <w:tabs>
                <w:tab w:val="left" w:pos="1285"/>
                <w:tab w:val="left" w:pos="4734"/>
              </w:tabs>
              <w:spacing w:after="0"/>
              <w:rPr>
                <w:rFonts w:ascii="Arial" w:hAnsi="Arial" w:cs="Arial"/>
                <w:sz w:val="20"/>
                <w:szCs w:val="20"/>
                <w:lang w:val="fr-FR"/>
              </w:rPr>
            </w:pPr>
            <w:r>
              <w:rPr>
                <w:rFonts w:ascii="Arial" w:eastAsia="Arial" w:hAnsi="Arial" w:cs="Arial"/>
                <w:color w:val="000000"/>
                <w:sz w:val="20"/>
                <w:szCs w:val="20"/>
                <w:lang w:val="fr-FR"/>
              </w:rPr>
              <w:t>Repérer les situations pouvant nuire à la santé-Identifier le risque physique lié à l’activité professionnelle-Adapter le poste de travail à l’agent-S’approprier les aides techniques à la manutention et les principes de sécurité physique et d’économie d’effort.</w:t>
            </w:r>
          </w:p>
          <w:p w14:paraId="2CBC23B7"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Calibri" w:hAnsi="Arial" w:cs="Arial"/>
                <w:color w:val="000000"/>
                <w:sz w:val="20"/>
                <w:szCs w:val="20"/>
                <w:lang w:val="fr-FR"/>
              </w:rPr>
              <w:t> </w:t>
            </w:r>
          </w:p>
          <w:p w14:paraId="48B300C4"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r>
              <w:rPr>
                <w:rFonts w:ascii="Arial" w:eastAsia="Arial" w:hAnsi="Arial" w:cs="Arial"/>
                <w:b/>
                <w:color w:val="000000"/>
                <w:sz w:val="20"/>
                <w:szCs w:val="20"/>
                <w:lang w:val="fr-FR"/>
              </w:rPr>
              <w:t>Module 7 : SST – 14h</w:t>
            </w:r>
          </w:p>
          <w:p w14:paraId="16313E84" w14:textId="77777777" w:rsidR="00E23E51" w:rsidRDefault="00000000">
            <w:pPr>
              <w:pBdr>
                <w:top w:val="none" w:sz="4" w:space="0" w:color="000000"/>
                <w:left w:val="none" w:sz="4" w:space="0" w:color="000000"/>
                <w:bottom w:val="none" w:sz="4" w:space="0" w:color="000000"/>
                <w:right w:val="none" w:sz="4" w:space="0" w:color="000000"/>
                <w:between w:val="none" w:sz="4" w:space="0" w:color="000000"/>
              </w:pBdr>
              <w:tabs>
                <w:tab w:val="left" w:pos="1285"/>
                <w:tab w:val="left" w:pos="4828"/>
              </w:tabs>
              <w:spacing w:after="0"/>
              <w:rPr>
                <w:rFonts w:ascii="Arial" w:hAnsi="Arial" w:cs="Arial"/>
                <w:sz w:val="20"/>
                <w:szCs w:val="20"/>
                <w:lang w:val="fr-FR"/>
              </w:rPr>
            </w:pPr>
            <w:r>
              <w:rPr>
                <w:rFonts w:ascii="Arial" w:eastAsia="Arial" w:hAnsi="Arial" w:cs="Arial"/>
                <w:color w:val="000000"/>
                <w:sz w:val="20"/>
                <w:szCs w:val="20"/>
                <w:lang w:val="fr-FR"/>
              </w:rPr>
              <w:t>Connaître les principes de base de la santé et de la sécurité au travail -Identifier les risques professionnels-Maîtriser les procédures d'urgence-Promouvoir une culture de sécurité</w:t>
            </w:r>
          </w:p>
          <w:p w14:paraId="7A380339" w14:textId="77777777" w:rsidR="00E23E51" w:rsidRDefault="00E23E51">
            <w:pPr>
              <w:pBdr>
                <w:top w:val="none" w:sz="4" w:space="0" w:color="000000"/>
                <w:left w:val="none" w:sz="4" w:space="0" w:color="000000"/>
                <w:bottom w:val="none" w:sz="4" w:space="0" w:color="000000"/>
                <w:right w:val="none" w:sz="4" w:space="0" w:color="000000"/>
              </w:pBdr>
              <w:tabs>
                <w:tab w:val="left" w:pos="566"/>
                <w:tab w:val="left" w:pos="4108"/>
              </w:tabs>
              <w:spacing w:after="0"/>
              <w:rPr>
                <w:rFonts w:ascii="Arial" w:hAnsi="Arial" w:cs="Arial"/>
                <w:sz w:val="20"/>
                <w:szCs w:val="20"/>
                <w:lang w:val="fr-FR"/>
              </w:rPr>
            </w:pPr>
          </w:p>
          <w:p w14:paraId="51E0A787"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rPr>
                <w:rFonts w:ascii="Arial" w:eastAsia="Arial" w:hAnsi="Arial" w:cs="Arial"/>
                <w:b/>
                <w:bCs/>
                <w:color w:val="000000"/>
                <w:sz w:val="20"/>
                <w:szCs w:val="20"/>
                <w:lang w:val="fr-FR"/>
              </w:rPr>
            </w:pPr>
            <w:r>
              <w:rPr>
                <w:rFonts w:ascii="Arial" w:eastAsia="Arial" w:hAnsi="Arial" w:cs="Arial"/>
                <w:b/>
                <w:color w:val="000000"/>
                <w:sz w:val="20"/>
                <w:szCs w:val="20"/>
                <w:lang w:val="fr-FR"/>
              </w:rPr>
              <w:t>Evaluations, régulation, bilans 7 h</w:t>
            </w:r>
          </w:p>
          <w:p w14:paraId="3287CFC5" w14:textId="77777777" w:rsidR="00E23E51" w:rsidRDefault="00E23E51">
            <w:pPr>
              <w:pBdr>
                <w:top w:val="none" w:sz="4" w:space="0" w:color="000000"/>
                <w:left w:val="none" w:sz="4" w:space="0" w:color="000000"/>
                <w:bottom w:val="none" w:sz="4" w:space="0" w:color="000000"/>
                <w:right w:val="none" w:sz="4" w:space="0" w:color="000000"/>
              </w:pBdr>
              <w:tabs>
                <w:tab w:val="left" w:pos="566"/>
                <w:tab w:val="left" w:pos="4111"/>
              </w:tabs>
              <w:spacing w:after="0"/>
              <w:rPr>
                <w:rFonts w:ascii="Arial" w:eastAsia="Arial" w:hAnsi="Arial" w:cs="Arial"/>
                <w:b/>
                <w:bCs/>
                <w:color w:val="000000"/>
                <w:sz w:val="20"/>
                <w:szCs w:val="20"/>
                <w:lang w:val="fr-FR"/>
              </w:rPr>
            </w:pPr>
          </w:p>
          <w:p w14:paraId="1F3A775C" w14:textId="77777777" w:rsidR="00E23E51" w:rsidRDefault="00000000">
            <w:pPr>
              <w:pBdr>
                <w:top w:val="none" w:sz="4" w:space="0" w:color="000000"/>
                <w:left w:val="none" w:sz="4" w:space="0" w:color="000000"/>
                <w:bottom w:val="none" w:sz="4" w:space="0" w:color="000000"/>
                <w:right w:val="none" w:sz="4" w:space="0" w:color="000000"/>
              </w:pBdr>
              <w:spacing w:line="240" w:lineRule="auto"/>
              <w:rPr>
                <w:rFonts w:ascii="Arial" w:eastAsia="Arial" w:hAnsi="Arial" w:cs="Arial"/>
                <w:b/>
                <w:bCs/>
                <w:i/>
                <w:iCs/>
                <w:color w:val="000000"/>
                <w:sz w:val="20"/>
                <w:szCs w:val="20"/>
                <w:lang w:val="fr-FR"/>
              </w:rPr>
            </w:pPr>
            <w:r>
              <w:rPr>
                <w:rFonts w:ascii="Arial" w:eastAsia="Arial" w:hAnsi="Arial" w:cs="Arial"/>
                <w:b/>
                <w:bCs/>
                <w:i/>
                <w:iCs/>
                <w:color w:val="000000"/>
                <w:sz w:val="20"/>
                <w:szCs w:val="20"/>
                <w:lang w:val="fr-FR"/>
              </w:rPr>
              <w:t>En fonction des besoins individuels :</w:t>
            </w:r>
          </w:p>
          <w:p w14:paraId="2101C024" w14:textId="77777777" w:rsidR="00E23E51" w:rsidRDefault="00000000">
            <w:pPr>
              <w:pBdr>
                <w:top w:val="none" w:sz="4" w:space="0" w:color="000000"/>
                <w:left w:val="none" w:sz="4" w:space="0" w:color="000000"/>
                <w:bottom w:val="none" w:sz="4" w:space="0" w:color="000000"/>
                <w:right w:val="none" w:sz="4" w:space="0" w:color="000000"/>
                <w:between w:val="none" w:sz="4" w:space="0" w:color="000000"/>
              </w:pBdr>
              <w:spacing w:after="0"/>
              <w:jc w:val="both"/>
              <w:rPr>
                <w:rFonts w:ascii="Arial" w:eastAsia="Arial" w:hAnsi="Arial" w:cs="Arial"/>
                <w:b/>
                <w:bCs/>
                <w:color w:val="000000"/>
                <w:sz w:val="20"/>
                <w:szCs w:val="20"/>
                <w:u w:val="single"/>
                <w:lang w:val="fr-FR"/>
              </w:rPr>
            </w:pPr>
            <w:r>
              <w:rPr>
                <w:rFonts w:ascii="Arial" w:eastAsia="Arial" w:hAnsi="Arial" w:cs="Arial"/>
                <w:b/>
                <w:bCs/>
                <w:color w:val="000000"/>
                <w:sz w:val="20"/>
                <w:szCs w:val="20"/>
                <w:u w:val="single"/>
                <w:lang w:val="fr-FR"/>
              </w:rPr>
              <w:t>Appui pédagogique</w:t>
            </w:r>
          </w:p>
          <w:p w14:paraId="5B34F600" w14:textId="77777777" w:rsidR="00E23E51" w:rsidRDefault="00E23E51">
            <w:pPr>
              <w:pBdr>
                <w:top w:val="none" w:sz="4" w:space="0" w:color="000000"/>
                <w:left w:val="none" w:sz="4" w:space="0" w:color="000000"/>
                <w:bottom w:val="none" w:sz="4" w:space="0" w:color="000000"/>
                <w:right w:val="none" w:sz="4" w:space="0" w:color="000000"/>
                <w:between w:val="none" w:sz="4" w:space="0" w:color="000000"/>
              </w:pBdr>
              <w:spacing w:after="0"/>
              <w:jc w:val="both"/>
              <w:rPr>
                <w:rFonts w:ascii="Arial" w:hAnsi="Arial" w:cs="Arial"/>
                <w:b/>
                <w:bCs/>
                <w:sz w:val="20"/>
                <w:szCs w:val="20"/>
                <w:u w:val="single"/>
                <w:lang w:val="fr-FR"/>
              </w:rPr>
            </w:pPr>
          </w:p>
          <w:p w14:paraId="19CE3E6F"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Calibri" w:hAnsi="Arial" w:cs="Arial"/>
                <w:b/>
                <w:color w:val="000000"/>
                <w:sz w:val="20"/>
                <w:szCs w:val="20"/>
                <w:u w:val="single"/>
                <w:lang w:val="fr-FR"/>
              </w:rPr>
              <w:t xml:space="preserve">Remise à niveau </w:t>
            </w:r>
          </w:p>
          <w:p w14:paraId="183DF966"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eastAsia="Calibri" w:hAnsi="Arial" w:cs="Arial"/>
                <w:color w:val="000000"/>
                <w:sz w:val="20"/>
                <w:szCs w:val="20"/>
                <w:lang w:val="fr-FR"/>
              </w:rPr>
            </w:pPr>
            <w:r>
              <w:rPr>
                <w:rFonts w:ascii="Arial" w:eastAsia="Calibri" w:hAnsi="Arial" w:cs="Arial"/>
                <w:color w:val="000000"/>
                <w:sz w:val="20"/>
                <w:szCs w:val="20"/>
                <w:lang w:val="fr-FR"/>
              </w:rPr>
              <w:t>-Français professionnel</w:t>
            </w:r>
          </w:p>
          <w:p w14:paraId="1C958610"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eastAsia="Calibri" w:hAnsi="Arial" w:cs="Arial"/>
                <w:color w:val="000000"/>
                <w:sz w:val="20"/>
                <w:szCs w:val="20"/>
                <w:lang w:val="fr-FR"/>
              </w:rPr>
            </w:pPr>
            <w:r>
              <w:rPr>
                <w:rFonts w:ascii="Arial" w:eastAsia="Calibri" w:hAnsi="Arial" w:cs="Arial"/>
                <w:color w:val="000000"/>
                <w:sz w:val="20"/>
                <w:szCs w:val="20"/>
                <w:lang w:val="fr-FR"/>
              </w:rPr>
              <w:t>-Sciences et mathématiques appliqués</w:t>
            </w:r>
          </w:p>
          <w:p w14:paraId="2F44DCA5"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eastAsia="Calibri" w:hAnsi="Arial" w:cs="Arial"/>
                <w:color w:val="000000"/>
                <w:sz w:val="20"/>
                <w:szCs w:val="20"/>
                <w:lang w:val="fr-FR"/>
              </w:rPr>
            </w:pPr>
            <w:r>
              <w:rPr>
                <w:rFonts w:ascii="Arial" w:eastAsia="Calibri" w:hAnsi="Arial" w:cs="Arial"/>
                <w:color w:val="000000"/>
                <w:sz w:val="20"/>
                <w:szCs w:val="20"/>
                <w:lang w:val="fr-FR"/>
              </w:rPr>
              <w:t>-Compétences numériques</w:t>
            </w:r>
          </w:p>
          <w:p w14:paraId="7FD16EB1" w14:textId="77777777" w:rsidR="00E23E51" w:rsidRDefault="00E23E51">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p>
          <w:p w14:paraId="20908AD1"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Calibri" w:hAnsi="Arial" w:cs="Arial"/>
                <w:b/>
                <w:color w:val="000000"/>
                <w:sz w:val="20"/>
                <w:szCs w:val="20"/>
                <w:u w:val="single"/>
                <w:lang w:val="fr-FR"/>
              </w:rPr>
              <w:t>Préparation à l’après formation</w:t>
            </w:r>
          </w:p>
          <w:p w14:paraId="642A39FB"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lastRenderedPageBreak/>
              <w:t>-CV et mise à jour de son espace personnel</w:t>
            </w:r>
          </w:p>
          <w:p w14:paraId="42FF4C04"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-Utilisation des ressources de l’emploi store</w:t>
            </w:r>
          </w:p>
          <w:p w14:paraId="57141CA1"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-Préparation à l’entretien avec un employeur</w:t>
            </w:r>
          </w:p>
          <w:p w14:paraId="399B2AE6"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-Stratégie d’accès à l’emploi (plan d’actions)</w:t>
            </w:r>
          </w:p>
          <w:p w14:paraId="10C98E4D" w14:textId="77777777" w:rsidR="00E23E51" w:rsidRDefault="00E23E51">
            <w:pPr>
              <w:pBdr>
                <w:top w:val="none" w:sz="4" w:space="0" w:color="000000"/>
                <w:left w:val="none" w:sz="4" w:space="0" w:color="000000"/>
                <w:bottom w:val="none" w:sz="4" w:space="0" w:color="000000"/>
                <w:right w:val="none" w:sz="4" w:space="0" w:color="000000"/>
              </w:pBdr>
              <w:tabs>
                <w:tab w:val="left" w:pos="566"/>
                <w:tab w:val="left" w:pos="4111"/>
              </w:tabs>
              <w:spacing w:after="0"/>
              <w:rPr>
                <w:rFonts w:ascii="Arial" w:eastAsia="Arial" w:hAnsi="Arial" w:cs="Arial"/>
                <w:b/>
                <w:bCs/>
                <w:color w:val="000000"/>
                <w:sz w:val="20"/>
                <w:szCs w:val="20"/>
                <w:lang w:val="fr-FR"/>
              </w:rPr>
            </w:pPr>
          </w:p>
          <w:p w14:paraId="1F64E429" w14:textId="77777777" w:rsidR="00E23E51" w:rsidRDefault="00E23E51">
            <w:pPr>
              <w:pBdr>
                <w:top w:val="none" w:sz="4" w:space="0" w:color="000000"/>
                <w:left w:val="none" w:sz="4" w:space="0" w:color="000000"/>
                <w:bottom w:val="none" w:sz="4" w:space="0" w:color="000000"/>
                <w:right w:val="none" w:sz="4" w:space="0" w:color="000000"/>
              </w:pBdr>
              <w:tabs>
                <w:tab w:val="left" w:pos="566"/>
                <w:tab w:val="left" w:pos="4111"/>
              </w:tabs>
              <w:spacing w:after="0"/>
              <w:rPr>
                <w:rFonts w:ascii="Arial" w:hAnsi="Arial" w:cs="Arial"/>
                <w:sz w:val="20"/>
                <w:szCs w:val="20"/>
                <w:lang w:val="fr-FR"/>
              </w:rPr>
            </w:pPr>
          </w:p>
          <w:p w14:paraId="7C91B79B"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line="240" w:lineRule="auto"/>
              <w:jc w:val="both"/>
              <w:rPr>
                <w:rFonts w:ascii="Arial" w:eastAsia="Calibri" w:hAnsi="Arial" w:cs="Arial"/>
                <w:b/>
                <w:bCs/>
                <w:color w:val="0070C0"/>
                <w:sz w:val="20"/>
                <w:szCs w:val="20"/>
                <w:lang w:val="fr-FR"/>
              </w:rPr>
            </w:pPr>
            <w:r>
              <w:rPr>
                <w:rFonts w:ascii="Arial" w:eastAsia="Calibri" w:hAnsi="Arial" w:cs="Arial"/>
                <w:color w:val="000000"/>
                <w:sz w:val="20"/>
                <w:szCs w:val="20"/>
                <w:lang w:val="fr-FR"/>
              </w:rPr>
              <w:t> </w:t>
            </w:r>
            <w:r>
              <w:rPr>
                <w:rFonts w:ascii="Arial" w:eastAsia="Calibri" w:hAnsi="Arial" w:cs="Arial"/>
                <w:b/>
                <w:color w:val="0070C0"/>
                <w:sz w:val="20"/>
                <w:szCs w:val="20"/>
                <w:lang w:val="fr-FR"/>
              </w:rPr>
              <w:t>2/ METHODES PEDAGOGIQUES</w:t>
            </w:r>
          </w:p>
          <w:p w14:paraId="7D3DB6C8" w14:textId="77777777" w:rsidR="00E23E51" w:rsidRDefault="00000000">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lang w:val="fr-FR"/>
              </w:rPr>
            </w:pPr>
            <w:r>
              <w:rPr>
                <w:rFonts w:ascii="Arial" w:eastAsia="Calibri" w:hAnsi="Arial" w:cs="Arial"/>
                <w:color w:val="000000"/>
                <w:sz w:val="20"/>
                <w:szCs w:val="20"/>
                <w:lang w:val="fr-FR"/>
              </w:rPr>
              <w:t>Des séances conçues selon différentes méthodes d’apprentissage sont proposées afin de préparer au mieux à la certification, et en respectant le grand principe selon lequel l’apprenant est l’acteur principal de sa formation :</w:t>
            </w:r>
          </w:p>
          <w:p w14:paraId="439A1210" w14:textId="77777777" w:rsidR="00E23E51" w:rsidRDefault="00000000">
            <w:pPr>
              <w:pBdr>
                <w:top w:val="none" w:sz="4" w:space="0" w:color="000000"/>
                <w:left w:val="none" w:sz="4" w:space="0" w:color="000000"/>
                <w:bottom w:val="none" w:sz="4" w:space="0" w:color="000000"/>
                <w:right w:val="none" w:sz="4" w:space="0" w:color="000000"/>
              </w:pBdr>
              <w:spacing w:after="0" w:line="240" w:lineRule="auto"/>
              <w:rPr>
                <w:rFonts w:ascii="Arial" w:eastAsia="Calibri" w:hAnsi="Arial" w:cs="Arial"/>
                <w:color w:val="000000"/>
                <w:sz w:val="20"/>
                <w:szCs w:val="20"/>
                <w:lang w:val="fr-FR"/>
              </w:rPr>
            </w:pPr>
            <w:r>
              <w:rPr>
                <w:rFonts w:ascii="Arial" w:eastAsia="Calibri" w:hAnsi="Arial" w:cs="Arial"/>
                <w:color w:val="000000"/>
                <w:sz w:val="20"/>
                <w:szCs w:val="20"/>
                <w:lang w:val="fr-FR"/>
              </w:rPr>
              <w:t>Cours magistraux | Exposés | Démonstrations | Partage et échange d’expériences et de savoirs | Exercices d’applications | Simulations d’entretien | Mises en situations permanentes sur le plateau technique en demi-groupes | Ateliers | Jeux de rôle | Travaux de recherche personnelle</w:t>
            </w:r>
          </w:p>
          <w:p w14:paraId="08B3CFF3" w14:textId="77777777" w:rsidR="00E23E51" w:rsidRDefault="00000000">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lang w:val="fr-FR"/>
              </w:rPr>
            </w:pPr>
            <w:r>
              <w:rPr>
                <w:rFonts w:ascii="Arial" w:eastAsia="Calibri" w:hAnsi="Arial" w:cs="Arial"/>
                <w:color w:val="000000"/>
                <w:sz w:val="20"/>
                <w:szCs w:val="20"/>
                <w:lang w:val="fr-FR"/>
              </w:rPr>
              <w:t>Mise en situation par une période d’application pratique en entreprise</w:t>
            </w:r>
          </w:p>
          <w:p w14:paraId="753D5279" w14:textId="77777777" w:rsidR="00E23E51" w:rsidRDefault="00E23E51">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eastAsia="Arial" w:hAnsi="Arial" w:cs="Arial"/>
                <w:b/>
                <w:color w:val="000000"/>
                <w:sz w:val="20"/>
                <w:szCs w:val="20"/>
                <w:lang w:val="fr-FR"/>
              </w:rPr>
            </w:pPr>
          </w:p>
          <w:p w14:paraId="4C91EACF"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rPr>
            </w:pPr>
            <w:r>
              <w:rPr>
                <w:rFonts w:ascii="Arial" w:eastAsia="Arial" w:hAnsi="Arial" w:cs="Arial"/>
                <w:b/>
                <w:color w:val="000000"/>
                <w:sz w:val="20"/>
                <w:szCs w:val="20"/>
              </w:rPr>
              <w:t>Moyens pédagogiques</w:t>
            </w:r>
            <w:r>
              <w:rPr>
                <w:rFonts w:ascii="Arial" w:eastAsia="Arial" w:hAnsi="Arial" w:cs="Arial"/>
                <w:color w:val="000000"/>
                <w:sz w:val="20"/>
                <w:szCs w:val="20"/>
              </w:rPr>
              <w:t>:</w:t>
            </w:r>
          </w:p>
          <w:p w14:paraId="14E9F4F9" w14:textId="77777777" w:rsidR="00E23E51" w:rsidRDefault="00000000">
            <w:pPr>
              <w:numPr>
                <w:ilvl w:val="0"/>
                <w:numId w:val="3"/>
              </w:num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rPr>
            </w:pPr>
            <w:r>
              <w:rPr>
                <w:rFonts w:ascii="Arial" w:eastAsia="Arial" w:hAnsi="Arial" w:cs="Arial"/>
                <w:color w:val="000000"/>
                <w:sz w:val="20"/>
                <w:szCs w:val="20"/>
              </w:rPr>
              <w:t>Kit Pédagogique</w:t>
            </w:r>
          </w:p>
          <w:p w14:paraId="6E67ABE7" w14:textId="77777777" w:rsidR="00E23E51" w:rsidRDefault="00000000">
            <w:pPr>
              <w:numPr>
                <w:ilvl w:val="0"/>
                <w:numId w:val="3"/>
              </w:num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rPr>
            </w:pPr>
            <w:r>
              <w:rPr>
                <w:rFonts w:ascii="Arial" w:eastAsia="Arial" w:hAnsi="Arial" w:cs="Arial"/>
                <w:color w:val="000000"/>
                <w:sz w:val="20"/>
                <w:szCs w:val="20"/>
              </w:rPr>
              <w:t>Documents écrits</w:t>
            </w:r>
          </w:p>
          <w:p w14:paraId="1A3AA6A5" w14:textId="77777777" w:rsidR="00E23E51" w:rsidRDefault="00000000">
            <w:pPr>
              <w:numPr>
                <w:ilvl w:val="0"/>
                <w:numId w:val="3"/>
              </w:num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rPr>
            </w:pPr>
            <w:r>
              <w:rPr>
                <w:rFonts w:ascii="Arial" w:eastAsia="Arial" w:hAnsi="Arial" w:cs="Arial"/>
                <w:color w:val="000000"/>
                <w:sz w:val="20"/>
                <w:szCs w:val="20"/>
              </w:rPr>
              <w:t>Supports « clé en main »</w:t>
            </w:r>
          </w:p>
          <w:p w14:paraId="5717C6CE" w14:textId="77777777" w:rsidR="00E23E51" w:rsidRDefault="00000000">
            <w:pPr>
              <w:numPr>
                <w:ilvl w:val="0"/>
                <w:numId w:val="3"/>
              </w:num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rPr>
            </w:pPr>
            <w:r>
              <w:rPr>
                <w:rFonts w:ascii="Arial" w:eastAsia="Arial" w:hAnsi="Arial" w:cs="Arial"/>
                <w:color w:val="000000"/>
                <w:sz w:val="20"/>
                <w:szCs w:val="20"/>
              </w:rPr>
              <w:t>Supports audio et visuels</w:t>
            </w:r>
          </w:p>
          <w:p w14:paraId="4632B5E3" w14:textId="77777777" w:rsidR="00E23E51" w:rsidRDefault="00000000">
            <w:pPr>
              <w:numPr>
                <w:ilvl w:val="0"/>
                <w:numId w:val="3"/>
              </w:numPr>
              <w:pBdr>
                <w:top w:val="none" w:sz="4" w:space="0" w:color="000000"/>
                <w:left w:val="none" w:sz="4" w:space="0" w:color="000000"/>
                <w:bottom w:val="none" w:sz="4" w:space="0" w:color="000000"/>
                <w:right w:val="none" w:sz="4" w:space="0" w:color="000000"/>
              </w:pBdr>
              <w:tabs>
                <w:tab w:val="left" w:pos="-142"/>
                <w:tab w:val="left" w:pos="4111"/>
              </w:tabs>
              <w:spacing w:after="0"/>
              <w:jc w:val="both"/>
              <w:rPr>
                <w:rFonts w:ascii="Arial" w:hAnsi="Arial" w:cs="Arial"/>
                <w:sz w:val="20"/>
                <w:szCs w:val="20"/>
              </w:rPr>
            </w:pPr>
            <w:r>
              <w:rPr>
                <w:rFonts w:ascii="Arial" w:eastAsia="Arial" w:hAnsi="Arial" w:cs="Arial"/>
                <w:color w:val="000000"/>
                <w:sz w:val="20"/>
                <w:szCs w:val="20"/>
              </w:rPr>
              <w:t>Outils multimédias</w:t>
            </w:r>
          </w:p>
          <w:p w14:paraId="22789245" w14:textId="77777777" w:rsidR="00E23E51" w:rsidRDefault="00E23E51">
            <w:pPr>
              <w:pBdr>
                <w:top w:val="none" w:sz="4" w:space="0" w:color="000000"/>
                <w:left w:val="none" w:sz="4" w:space="0" w:color="000000"/>
                <w:bottom w:val="none" w:sz="4" w:space="0" w:color="000000"/>
                <w:right w:val="none" w:sz="4" w:space="0" w:color="000000"/>
              </w:pBdr>
              <w:tabs>
                <w:tab w:val="left" w:pos="-142"/>
                <w:tab w:val="left" w:pos="4111"/>
              </w:tabs>
              <w:spacing w:after="0"/>
              <w:ind w:left="720"/>
              <w:jc w:val="both"/>
              <w:rPr>
                <w:rFonts w:ascii="Arial" w:hAnsi="Arial" w:cs="Arial"/>
                <w:sz w:val="20"/>
                <w:szCs w:val="20"/>
              </w:rPr>
            </w:pPr>
          </w:p>
          <w:p w14:paraId="06901B84"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after="0" w:line="240" w:lineRule="auto"/>
              <w:jc w:val="both"/>
              <w:rPr>
                <w:rFonts w:ascii="Arial" w:hAnsi="Arial" w:cs="Arial"/>
                <w:sz w:val="20"/>
                <w:szCs w:val="20"/>
                <w:lang w:val="fr-FR"/>
              </w:rPr>
            </w:pPr>
            <w:r>
              <w:rPr>
                <w:rFonts w:ascii="Arial" w:eastAsia="Calibri" w:hAnsi="Arial" w:cs="Arial"/>
                <w:color w:val="000000"/>
                <w:sz w:val="20"/>
                <w:szCs w:val="20"/>
                <w:lang w:val="fr-FR"/>
              </w:rPr>
              <w:t> </w:t>
            </w:r>
            <w:r>
              <w:rPr>
                <w:rFonts w:ascii="Arial" w:eastAsia="Calibri" w:hAnsi="Arial" w:cs="Arial"/>
                <w:b/>
                <w:color w:val="0070C0"/>
                <w:sz w:val="20"/>
                <w:szCs w:val="20"/>
                <w:lang w:val="fr-FR"/>
              </w:rPr>
              <w:t>3/ MODALITES D‘EVALUATION</w:t>
            </w:r>
            <w:r>
              <w:rPr>
                <w:rFonts w:ascii="Arial" w:eastAsia="Calibri" w:hAnsi="Arial" w:cs="Arial"/>
                <w:color w:val="000000"/>
                <w:sz w:val="20"/>
                <w:szCs w:val="20"/>
                <w:lang w:val="fr-FR"/>
              </w:rPr>
              <w:t> </w:t>
            </w:r>
          </w:p>
          <w:p w14:paraId="617C3E24" w14:textId="77777777" w:rsidR="00E23E51" w:rsidRDefault="00000000">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lang w:val="fr-FR"/>
              </w:rPr>
            </w:pPr>
            <w:r>
              <w:rPr>
                <w:rFonts w:ascii="Arial" w:eastAsia="Calibri" w:hAnsi="Arial" w:cs="Arial"/>
                <w:color w:val="000000"/>
                <w:sz w:val="20"/>
                <w:szCs w:val="20"/>
                <w:lang w:val="fr-FR"/>
              </w:rPr>
              <w:t xml:space="preserve">Positionnements en début de formation </w:t>
            </w:r>
          </w:p>
          <w:p w14:paraId="7668C4D7" w14:textId="77777777" w:rsidR="00E23E51" w:rsidRDefault="00000000">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lang w:val="fr-FR"/>
              </w:rPr>
            </w:pPr>
            <w:r>
              <w:rPr>
                <w:rFonts w:ascii="Arial" w:eastAsia="Calibri" w:hAnsi="Arial" w:cs="Arial"/>
                <w:color w:val="000000"/>
                <w:sz w:val="20"/>
                <w:szCs w:val="20"/>
                <w:lang w:val="fr-FR"/>
              </w:rPr>
              <w:t xml:space="preserve">Évaluations sommatives régulières </w:t>
            </w:r>
          </w:p>
          <w:p w14:paraId="2C545D2C" w14:textId="77777777" w:rsidR="00E23E51" w:rsidRDefault="00000000">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lang w:val="fr-FR"/>
              </w:rPr>
            </w:pPr>
            <w:r>
              <w:rPr>
                <w:rFonts w:ascii="Arial" w:eastAsia="Calibri" w:hAnsi="Arial" w:cs="Arial"/>
                <w:color w:val="000000"/>
                <w:sz w:val="20"/>
                <w:szCs w:val="20"/>
                <w:lang w:val="fr-FR"/>
              </w:rPr>
              <w:t xml:space="preserve">Chaque module donne lieu à une évaluation spécifique (questionnaire numérique, mise en situation, études de cas). </w:t>
            </w:r>
          </w:p>
        </w:tc>
      </w:tr>
      <w:tr w:rsidR="00E23E51" w14:paraId="54E2FE34" w14:textId="77777777">
        <w:trPr>
          <w:trHeight w:val="1876"/>
        </w:trPr>
        <w:tc>
          <w:tcPr>
            <w:tcW w:w="2581" w:type="dxa"/>
            <w:shd w:val="clear" w:color="auto" w:fill="C6D9F1"/>
            <w:vAlign w:val="center"/>
          </w:tcPr>
          <w:p w14:paraId="4E783BDB"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lastRenderedPageBreak/>
              <w:t>Modalités pédagogiques mises en œuvre pour développer ou renforcer les savoir être attendus dans le métier préparé par la formation</w:t>
            </w:r>
          </w:p>
        </w:tc>
        <w:tc>
          <w:tcPr>
            <w:tcW w:w="7232" w:type="dxa"/>
            <w:shd w:val="clear" w:color="auto" w:fill="auto"/>
            <w:vAlign w:val="center"/>
          </w:tcPr>
          <w:p w14:paraId="759D3212"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line="276" w:lineRule="auto"/>
              <w:jc w:val="both"/>
              <w:rPr>
                <w:rFonts w:ascii="Arial" w:hAnsi="Arial" w:cs="Arial"/>
                <w:sz w:val="20"/>
                <w:szCs w:val="20"/>
                <w:lang w:val="fr-FR"/>
              </w:rPr>
            </w:pPr>
            <w:r>
              <w:rPr>
                <w:rFonts w:ascii="Arial" w:eastAsia="Arial" w:hAnsi="Arial" w:cs="Arial"/>
                <w:b/>
                <w:color w:val="5B9BD5"/>
                <w:sz w:val="20"/>
                <w:szCs w:val="20"/>
                <w:lang w:val="fr-FR"/>
              </w:rPr>
              <w:t xml:space="preserve">De l’importance des savoirs-êtres </w:t>
            </w:r>
          </w:p>
          <w:p w14:paraId="2A96E3DC"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line="276" w:lineRule="auto"/>
              <w:jc w:val="both"/>
              <w:rPr>
                <w:rFonts w:ascii="Arial" w:hAnsi="Arial" w:cs="Arial"/>
                <w:sz w:val="20"/>
                <w:szCs w:val="20"/>
                <w:lang w:val="fr-FR"/>
              </w:rPr>
            </w:pPr>
            <w:r>
              <w:rPr>
                <w:rFonts w:ascii="Arial" w:eastAsia="Arial" w:hAnsi="Arial" w:cs="Arial"/>
                <w:color w:val="000000"/>
                <w:sz w:val="20"/>
                <w:szCs w:val="20"/>
                <w:lang w:val="fr-FR"/>
              </w:rPr>
              <w:t xml:space="preserve">Les compétences comportementales sont travaillées tout au long du parcours de formation (appui pédagogique inclus). L’approche par compétences et la dynamique de travail en mode projet, dans un cadre individualisé qui préserve le collectif, permettent de lutter contre le décrochage des apprenants. Les modalités pédagogiques poussent l’apprenant à interagir avec le formateur et les autres stagiaires. Cette matière pédagogique est alors l’occasion d’amener le stagiaire à réfléchir sur son comportement, son ressenti, son efficacité. </w:t>
            </w:r>
          </w:p>
          <w:p w14:paraId="79B04A8E"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line="276" w:lineRule="auto"/>
              <w:jc w:val="both"/>
              <w:rPr>
                <w:rFonts w:ascii="Arial" w:hAnsi="Arial" w:cs="Arial"/>
                <w:sz w:val="20"/>
                <w:szCs w:val="20"/>
                <w:lang w:val="fr-FR"/>
              </w:rPr>
            </w:pPr>
            <w:r>
              <w:rPr>
                <w:rFonts w:ascii="Arial" w:eastAsia="Arial" w:hAnsi="Arial" w:cs="Arial"/>
                <w:color w:val="000000"/>
                <w:sz w:val="20"/>
                <w:szCs w:val="20"/>
                <w:lang w:val="fr-FR"/>
              </w:rPr>
              <w:t xml:space="preserve">Ainsi, il faut considérer que tout temps de vie en formation est l’occasion du développement de ces compétences transversales. Ceci étant, les opportunités de concentrer l’attention des apprenants sur leurs savoirs-êtres et ainsi de les développer sont saisies ou suscitées. </w:t>
            </w:r>
          </w:p>
          <w:p w14:paraId="7B292F68" w14:textId="77777777" w:rsidR="00E23E51" w:rsidRDefault="00000000">
            <w:pPr>
              <w:pBdr>
                <w:top w:val="none" w:sz="4" w:space="0" w:color="000000"/>
                <w:left w:val="none" w:sz="4" w:space="0" w:color="000000"/>
                <w:bottom w:val="none" w:sz="4" w:space="0" w:color="000000"/>
                <w:right w:val="none" w:sz="4" w:space="0" w:color="000000"/>
              </w:pBdr>
              <w:spacing w:before="240" w:line="235" w:lineRule="atLeast"/>
              <w:jc w:val="both"/>
              <w:rPr>
                <w:rFonts w:ascii="Arial" w:hAnsi="Arial" w:cs="Arial"/>
                <w:sz w:val="20"/>
                <w:szCs w:val="20"/>
                <w:lang w:val="fr-FR"/>
              </w:rPr>
            </w:pPr>
            <w:r>
              <w:rPr>
                <w:rFonts w:ascii="Arial" w:eastAsia="Arial" w:hAnsi="Arial" w:cs="Arial"/>
                <w:b/>
                <w:color w:val="44546A"/>
                <w:sz w:val="20"/>
                <w:szCs w:val="20"/>
                <w:lang w:val="fr-FR"/>
              </w:rPr>
              <w:t>7 SOFT SKILLS RENFORCÉES (tous niveaux confondus)</w:t>
            </w:r>
          </w:p>
          <w:p w14:paraId="760C9281"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line="276" w:lineRule="auto"/>
              <w:jc w:val="both"/>
              <w:rPr>
                <w:rFonts w:ascii="Arial" w:hAnsi="Arial" w:cs="Arial"/>
                <w:sz w:val="20"/>
                <w:szCs w:val="20"/>
                <w:lang w:val="fr-FR"/>
              </w:rPr>
            </w:pPr>
            <w:r>
              <w:rPr>
                <w:rFonts w:ascii="Arial" w:eastAsia="Arial" w:hAnsi="Arial" w:cs="Arial"/>
                <w:color w:val="000000"/>
                <w:sz w:val="20"/>
                <w:szCs w:val="20"/>
                <w:lang w:val="fr-FR"/>
              </w:rPr>
              <w:t>Notre groupement se focalise sur 7 d’entre eux :</w:t>
            </w:r>
          </w:p>
          <w:p w14:paraId="5B5D4417"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line="276" w:lineRule="auto"/>
              <w:jc w:val="center"/>
              <w:rPr>
                <w:rFonts w:ascii="Arial" w:hAnsi="Arial" w:cs="Arial"/>
                <w:sz w:val="20"/>
                <w:szCs w:val="20"/>
              </w:rPr>
            </w:pPr>
            <w:r>
              <w:rPr>
                <w:rFonts w:ascii="Arial" w:hAnsi="Arial" w:cs="Arial"/>
                <w:noProof/>
                <w:sz w:val="20"/>
                <w:szCs w:val="20"/>
              </w:rPr>
              <mc:AlternateContent>
                <mc:Choice Requires="wpg">
                  <w:drawing>
                    <wp:inline distT="0" distB="0" distL="0" distR="0" wp14:anchorId="5FC0E53B" wp14:editId="0626F6CF">
                      <wp:extent cx="3986379" cy="920750"/>
                      <wp:effectExtent l="0" t="0" r="0" b="0"/>
                      <wp:docPr id="3" name="Image 7" descr="Une image contenant texte, Police, blanc,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7" descr="Une image contenant texte, Police, blanc, Graphique&#10;&#10;Description générée automatiquement"/>
                              <pic:cNvPicPr>
                                <a:picLocks noChangeAspect="1"/>
                              </pic:cNvPicPr>
                            </pic:nvPicPr>
                            <pic:blipFill>
                              <a:blip r:embed="rId7"/>
                              <a:srcRect l="30768"/>
                              <a:stretch/>
                            </pic:blipFill>
                            <pic:spPr bwMode="auto">
                              <a:xfrm>
                                <a:off x="0" y="0"/>
                                <a:ext cx="3987362" cy="920977"/>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313.89pt;height:72.50pt;mso-wrap-distance-left:0.00pt;mso-wrap-distance-top:0.00pt;mso-wrap-distance-right:0.00pt;mso-wrap-distance-bottom:0.00pt;z-index:1;" stroked="f">
                      <v:imagedata r:id="rId15" o:title="" croptop="0f" cropleft="20164f" cropbottom="0f" cropright="0f"/>
                      <o:lock v:ext="edit" rotation="t"/>
                    </v:shape>
                  </w:pict>
                </mc:Fallback>
              </mc:AlternateContent>
            </w:r>
          </w:p>
          <w:p w14:paraId="240A0F7B"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line="276" w:lineRule="auto"/>
              <w:jc w:val="both"/>
              <w:rPr>
                <w:rFonts w:ascii="Arial" w:hAnsi="Arial" w:cs="Arial"/>
                <w:sz w:val="20"/>
                <w:szCs w:val="20"/>
                <w:lang w:val="fr-FR"/>
              </w:rPr>
            </w:pPr>
            <w:r>
              <w:rPr>
                <w:rFonts w:ascii="Arial" w:eastAsia="Arial" w:hAnsi="Arial" w:cs="Arial"/>
                <w:color w:val="000000"/>
                <w:sz w:val="20"/>
                <w:szCs w:val="20"/>
                <w:lang w:val="fr-FR"/>
              </w:rPr>
              <w:lastRenderedPageBreak/>
              <w:t>Valoriser ces qualités humaines permet aux apprenants de déceler les compétences comportementales qui les caractérisent, de mieux s’intégrer dans l’équipe et de s’appuyer sur elles pour développer d’autres compétences.</w:t>
            </w:r>
          </w:p>
          <w:p w14:paraId="3100B574"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line="276" w:lineRule="auto"/>
              <w:jc w:val="both"/>
              <w:rPr>
                <w:rFonts w:ascii="Arial" w:hAnsi="Arial" w:cs="Arial"/>
                <w:sz w:val="20"/>
                <w:szCs w:val="20"/>
                <w:lang w:val="fr-FR"/>
              </w:rPr>
            </w:pPr>
            <w:r>
              <w:rPr>
                <w:rFonts w:ascii="Arial" w:eastAsia="Arial" w:hAnsi="Arial" w:cs="Arial"/>
                <w:b/>
                <w:color w:val="5B9BD5"/>
                <w:sz w:val="20"/>
                <w:szCs w:val="20"/>
                <w:lang w:val="fr-FR"/>
              </w:rPr>
              <w:t>Une charte personnalisée, des engagements communs</w:t>
            </w:r>
          </w:p>
          <w:p w14:paraId="033DFFD5"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line="276" w:lineRule="auto"/>
              <w:jc w:val="both"/>
              <w:rPr>
                <w:rFonts w:ascii="Arial" w:hAnsi="Arial" w:cs="Arial"/>
                <w:sz w:val="20"/>
                <w:szCs w:val="20"/>
                <w:lang w:val="fr-FR"/>
              </w:rPr>
            </w:pPr>
            <w:r>
              <w:rPr>
                <w:rFonts w:ascii="Arial" w:eastAsia="Arial" w:hAnsi="Arial" w:cs="Arial"/>
                <w:color w:val="000000"/>
                <w:sz w:val="20"/>
                <w:szCs w:val="20"/>
                <w:lang w:val="fr-FR"/>
              </w:rPr>
              <w:t>En démarrage de formation, les stagiaires sont invités à co-construire une charte d’engagements dans laquelle ils détaillent les valeurs autour desquelles ils se réunissent. Au travers, par exemple, d’un jeu de photo langage, ils explicitent le comportement à adopter dans le respect des autres et de leur environnement. Ce travail de réflexion autour du bien vivre dans son environnement permet d’interroger les pratiques, de découvrir d’autres points de vue, de se rejoindre autour d’engagements communs et ainsi de se constituer en collectif d’apprentissage.</w:t>
            </w:r>
          </w:p>
          <w:p w14:paraId="7C8C35F0"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line="276" w:lineRule="auto"/>
              <w:jc w:val="both"/>
              <w:rPr>
                <w:rFonts w:ascii="Arial" w:hAnsi="Arial" w:cs="Arial"/>
                <w:sz w:val="20"/>
                <w:szCs w:val="20"/>
                <w:lang w:val="fr-FR"/>
              </w:rPr>
            </w:pPr>
            <w:r>
              <w:rPr>
                <w:rFonts w:ascii="Arial" w:eastAsia="Arial" w:hAnsi="Arial" w:cs="Arial"/>
                <w:b/>
                <w:color w:val="5B9BD5"/>
                <w:sz w:val="20"/>
                <w:szCs w:val="20"/>
                <w:lang w:val="fr-FR"/>
              </w:rPr>
              <w:t>Respecter son environnement</w:t>
            </w:r>
          </w:p>
          <w:p w14:paraId="29FE34CC" w14:textId="77777777" w:rsidR="00E23E51" w:rsidRDefault="00000000">
            <w:pPr>
              <w:pBdr>
                <w:top w:val="none" w:sz="4" w:space="0" w:color="000000"/>
                <w:left w:val="none" w:sz="4" w:space="0" w:color="000000"/>
                <w:bottom w:val="none" w:sz="4" w:space="0" w:color="000000"/>
                <w:right w:val="none" w:sz="4" w:space="0" w:color="000000"/>
              </w:pBdr>
              <w:tabs>
                <w:tab w:val="left" w:pos="-142"/>
                <w:tab w:val="left" w:pos="4111"/>
              </w:tabs>
              <w:spacing w:line="276" w:lineRule="auto"/>
              <w:jc w:val="both"/>
              <w:rPr>
                <w:rFonts w:ascii="Arial" w:hAnsi="Arial" w:cs="Arial"/>
                <w:sz w:val="20"/>
                <w:szCs w:val="20"/>
                <w:lang w:val="fr-FR"/>
              </w:rPr>
            </w:pPr>
            <w:r>
              <w:rPr>
                <w:rFonts w:ascii="Arial" w:eastAsia="Arial" w:hAnsi="Arial" w:cs="Arial"/>
                <w:color w:val="000000"/>
                <w:sz w:val="20"/>
                <w:szCs w:val="20"/>
                <w:lang w:val="fr-FR"/>
              </w:rPr>
              <w:t>Une visite du centre de formation peut alors être organisée afin d’amener les stagiaires à mieux comprendre les contraintes qui leur sont imposées. Ainsi, des rituels de rangement, nettoyage et tri sélectif sont instaurés au sein des espaces de vie et de travail du centre de formation. La présentation des stagiaires à l’ensemble de l’équipe permet dès le démarrage de l’action de sensibiliser au respect du travail de l’autre : les personnels d’entretien peuvent ainsi expliquer leurs tâches quotidiennes et les répercussions des manquements à la charte sur leur organisation sur leur travail.</w:t>
            </w:r>
          </w:p>
          <w:p w14:paraId="183C4337" w14:textId="77777777" w:rsidR="00E23E51" w:rsidRDefault="00000000">
            <w:pPr>
              <w:spacing w:before="240" w:line="240" w:lineRule="auto"/>
              <w:jc w:val="both"/>
              <w:rPr>
                <w:rFonts w:ascii="Arial" w:hAnsi="Arial" w:cs="Arial"/>
                <w:b/>
                <w:bCs/>
                <w:color w:val="0E2841" w:themeColor="text2"/>
                <w:sz w:val="20"/>
                <w:szCs w:val="20"/>
                <w:lang w:val="fr-FR"/>
              </w:rPr>
            </w:pPr>
            <w:r>
              <w:rPr>
                <w:rFonts w:ascii="Arial" w:eastAsia="Calibri" w:hAnsi="Arial" w:cs="Arial"/>
                <w:color w:val="000000"/>
                <w:sz w:val="20"/>
                <w:szCs w:val="20"/>
                <w:lang w:val="fr-FR"/>
              </w:rPr>
              <w:t> </w:t>
            </w:r>
            <w:r>
              <w:rPr>
                <w:rFonts w:ascii="Arial" w:hAnsi="Arial" w:cs="Arial"/>
                <w:b/>
                <w:color w:val="0E2841" w:themeColor="text2"/>
                <w:sz w:val="20"/>
                <w:szCs w:val="20"/>
                <w:lang w:val="fr-FR"/>
              </w:rPr>
              <w:t>DES SAVOIRS-ETRES SPECIFIQUES METIER</w:t>
            </w:r>
          </w:p>
          <w:p w14:paraId="5AEB44EF"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Cette formation vise à développer les compétences nécessaires pour travailler en établissements médico-sociaux. Outre les savoirs techniques, il est essentiel de maîtriser des savoirs être professionnels (soft-skills) pour assurer un travail de qualité.</w:t>
            </w:r>
          </w:p>
          <w:p w14:paraId="0EC06842"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Les qualités requises sont travaillées au cours de situations pédagogiques et des périodes en entreprises, notamment :</w:t>
            </w:r>
          </w:p>
          <w:p w14:paraId="066C60E1" w14:textId="77777777" w:rsidR="00E23E51" w:rsidRDefault="00000000">
            <w:pPr>
              <w:numPr>
                <w:ilvl w:val="0"/>
                <w:numId w:val="2"/>
              </w:numPr>
              <w:pBdr>
                <w:top w:val="none" w:sz="4" w:space="0" w:color="000000"/>
                <w:left w:val="none" w:sz="4" w:space="0" w:color="000000"/>
                <w:bottom w:val="none" w:sz="4" w:space="0" w:color="000000"/>
                <w:right w:val="none" w:sz="4" w:space="0" w:color="000000"/>
              </w:pBdr>
              <w:tabs>
                <w:tab w:val="left" w:pos="2017"/>
                <w:tab w:val="left" w:pos="6270"/>
              </w:tabs>
              <w:spacing w:after="0"/>
              <w:rPr>
                <w:rFonts w:ascii="Arial" w:hAnsi="Arial" w:cs="Arial"/>
                <w:sz w:val="20"/>
                <w:szCs w:val="20"/>
              </w:rPr>
            </w:pPr>
            <w:r>
              <w:rPr>
                <w:rFonts w:ascii="Arial" w:eastAsia="Arial" w:hAnsi="Arial" w:cs="Arial"/>
                <w:color w:val="000000"/>
                <w:sz w:val="20"/>
                <w:szCs w:val="20"/>
                <w:highlight w:val="white"/>
              </w:rPr>
              <w:t>Faire preuve d'autonomie</w:t>
            </w:r>
          </w:p>
          <w:p w14:paraId="06CD545C" w14:textId="77777777" w:rsidR="00E23E51" w:rsidRDefault="00000000">
            <w:pPr>
              <w:numPr>
                <w:ilvl w:val="0"/>
                <w:numId w:val="2"/>
              </w:numPr>
              <w:pBdr>
                <w:top w:val="none" w:sz="4" w:space="0" w:color="000000"/>
                <w:left w:val="none" w:sz="4" w:space="0" w:color="000000"/>
                <w:bottom w:val="none" w:sz="4" w:space="0" w:color="000000"/>
                <w:right w:val="none" w:sz="4" w:space="0" w:color="000000"/>
              </w:pBdr>
              <w:tabs>
                <w:tab w:val="left" w:pos="2017"/>
                <w:tab w:val="left" w:pos="6270"/>
              </w:tabs>
              <w:spacing w:after="0"/>
              <w:rPr>
                <w:rFonts w:ascii="Arial" w:hAnsi="Arial" w:cs="Arial"/>
                <w:sz w:val="20"/>
                <w:szCs w:val="20"/>
              </w:rPr>
            </w:pPr>
            <w:r>
              <w:rPr>
                <w:rFonts w:ascii="Arial" w:eastAsia="Arial" w:hAnsi="Arial" w:cs="Arial"/>
                <w:color w:val="000000"/>
                <w:sz w:val="20"/>
                <w:szCs w:val="20"/>
                <w:highlight w:val="white"/>
              </w:rPr>
              <w:t>Faire preuve de réactivité</w:t>
            </w:r>
          </w:p>
          <w:p w14:paraId="0E29FEE1" w14:textId="77777777" w:rsidR="00E23E51" w:rsidRDefault="00000000">
            <w:pPr>
              <w:numPr>
                <w:ilvl w:val="0"/>
                <w:numId w:val="2"/>
              </w:numPr>
              <w:pBdr>
                <w:top w:val="none" w:sz="4" w:space="0" w:color="000000"/>
                <w:left w:val="none" w:sz="4" w:space="0" w:color="000000"/>
                <w:bottom w:val="none" w:sz="4" w:space="0" w:color="000000"/>
                <w:right w:val="none" w:sz="4" w:space="0" w:color="000000"/>
              </w:pBdr>
              <w:tabs>
                <w:tab w:val="left" w:pos="2017"/>
                <w:tab w:val="left" w:pos="6270"/>
              </w:tabs>
              <w:spacing w:after="0"/>
              <w:rPr>
                <w:rFonts w:ascii="Arial" w:hAnsi="Arial" w:cs="Arial"/>
                <w:sz w:val="20"/>
                <w:szCs w:val="20"/>
                <w:lang w:val="fr-FR"/>
              </w:rPr>
            </w:pPr>
            <w:r>
              <w:rPr>
                <w:rFonts w:ascii="Arial" w:eastAsia="Arial" w:hAnsi="Arial" w:cs="Arial"/>
                <w:color w:val="000000"/>
                <w:sz w:val="20"/>
                <w:szCs w:val="20"/>
                <w:highlight w:val="white"/>
                <w:lang w:val="fr-FR"/>
              </w:rPr>
              <w:t>Faire preuve de rigueur et de précision</w:t>
            </w:r>
          </w:p>
          <w:p w14:paraId="7C23ACB7" w14:textId="77777777" w:rsidR="00E23E51" w:rsidRDefault="00000000">
            <w:pPr>
              <w:numPr>
                <w:ilvl w:val="0"/>
                <w:numId w:val="2"/>
              </w:numPr>
              <w:pBdr>
                <w:top w:val="none" w:sz="4" w:space="0" w:color="000000"/>
                <w:left w:val="none" w:sz="4" w:space="0" w:color="000000"/>
                <w:bottom w:val="none" w:sz="4" w:space="0" w:color="000000"/>
                <w:right w:val="none" w:sz="4" w:space="0" w:color="000000"/>
              </w:pBdr>
              <w:tabs>
                <w:tab w:val="left" w:pos="2017"/>
                <w:tab w:val="left" w:pos="6270"/>
              </w:tabs>
              <w:spacing w:after="0"/>
              <w:rPr>
                <w:rFonts w:ascii="Arial" w:hAnsi="Arial" w:cs="Arial"/>
                <w:sz w:val="20"/>
                <w:szCs w:val="20"/>
              </w:rPr>
            </w:pPr>
            <w:r>
              <w:rPr>
                <w:rFonts w:ascii="Arial" w:eastAsia="Arial" w:hAnsi="Arial" w:cs="Arial"/>
                <w:color w:val="000000"/>
                <w:sz w:val="20"/>
                <w:szCs w:val="20"/>
                <w:highlight w:val="white"/>
              </w:rPr>
              <w:t>S'adapter aux changements</w:t>
            </w:r>
          </w:p>
          <w:p w14:paraId="7FA5E469" w14:textId="77777777" w:rsidR="00E23E51" w:rsidRDefault="00000000">
            <w:pPr>
              <w:numPr>
                <w:ilvl w:val="0"/>
                <w:numId w:val="2"/>
              </w:numPr>
              <w:pBdr>
                <w:top w:val="none" w:sz="4" w:space="0" w:color="000000"/>
                <w:left w:val="none" w:sz="4" w:space="0" w:color="000000"/>
                <w:bottom w:val="none" w:sz="4" w:space="0" w:color="000000"/>
                <w:right w:val="none" w:sz="4" w:space="0" w:color="000000"/>
              </w:pBdr>
              <w:tabs>
                <w:tab w:val="left" w:pos="2017"/>
                <w:tab w:val="left" w:pos="6270"/>
              </w:tabs>
              <w:spacing w:after="0"/>
              <w:rPr>
                <w:rFonts w:ascii="Arial" w:hAnsi="Arial" w:cs="Arial"/>
                <w:sz w:val="20"/>
                <w:szCs w:val="20"/>
              </w:rPr>
            </w:pPr>
            <w:r>
              <w:rPr>
                <w:rFonts w:ascii="Arial" w:eastAsia="Arial" w:hAnsi="Arial" w:cs="Arial"/>
                <w:color w:val="000000"/>
                <w:sz w:val="20"/>
                <w:szCs w:val="20"/>
                <w:highlight w:val="white"/>
              </w:rPr>
              <w:t>Travailler en équipe</w:t>
            </w:r>
          </w:p>
          <w:p w14:paraId="1A387AC5" w14:textId="77777777" w:rsidR="00E23E51" w:rsidRDefault="00000000">
            <w:pPr>
              <w:numPr>
                <w:ilvl w:val="0"/>
                <w:numId w:val="2"/>
              </w:numPr>
              <w:pBdr>
                <w:top w:val="none" w:sz="4" w:space="0" w:color="000000"/>
                <w:left w:val="none" w:sz="4" w:space="0" w:color="000000"/>
                <w:bottom w:val="none" w:sz="4" w:space="0" w:color="000000"/>
                <w:right w:val="none" w:sz="4" w:space="0" w:color="000000"/>
              </w:pBdr>
              <w:tabs>
                <w:tab w:val="left" w:pos="2017"/>
                <w:tab w:val="left" w:pos="6270"/>
              </w:tabs>
              <w:spacing w:after="0"/>
              <w:rPr>
                <w:rFonts w:ascii="Arial" w:hAnsi="Arial" w:cs="Arial"/>
                <w:sz w:val="20"/>
                <w:szCs w:val="20"/>
              </w:rPr>
            </w:pPr>
            <w:r>
              <w:rPr>
                <w:rFonts w:ascii="Arial" w:eastAsia="Calibri" w:hAnsi="Arial" w:cs="Arial"/>
                <w:color w:val="000000"/>
                <w:sz w:val="20"/>
                <w:szCs w:val="20"/>
              </w:rPr>
              <w:t> </w:t>
            </w:r>
          </w:p>
          <w:p w14:paraId="03CA9D54"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b/>
                <w:color w:val="000000"/>
                <w:sz w:val="20"/>
                <w:szCs w:val="20"/>
                <w:lang w:val="fr-FR"/>
              </w:rPr>
              <w:t>Mise en situation réelle ou simulation</w:t>
            </w:r>
          </w:p>
          <w:p w14:paraId="0F02571E"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Les stagiaires sont mis en situation réelle ou de simulation à travers des scénarios pédagogiques. Cela leur permet de pratiquer les gestes professionnels et de développer leurs compétences relationnelles dans des situations concrètes. Par exemple, ils peuvent être amenés à jouer le rôle d'un agent de service hospitalier intervenant dans la chambre d’un résident pour nettoyer la chambre ou lui servir son repas.</w:t>
            </w:r>
          </w:p>
          <w:p w14:paraId="67D4C4D5"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Jeux de rôle: Les jeux de rôle permettent aux stagiaires de se mettre dans la peau résident. Cela leur permet de mieux comprendre les différentes perspectives et de développer leur empathie.</w:t>
            </w:r>
          </w:p>
          <w:p w14:paraId="688FFC4A"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 xml:space="preserve">Étude de cas: L'analyse de cas concrets permet aux stagiaires de réfléchir à des situations professionnelles complexes et de développer leur capacité à prendre des décisions. </w:t>
            </w:r>
          </w:p>
          <w:p w14:paraId="76CE85B6"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b/>
                <w:color w:val="000000"/>
                <w:sz w:val="20"/>
                <w:szCs w:val="20"/>
                <w:lang w:val="fr-FR"/>
              </w:rPr>
              <w:lastRenderedPageBreak/>
              <w:t>Analyse de pratiques </w:t>
            </w:r>
          </w:p>
          <w:p w14:paraId="6BEC875C"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Les stagiaires sont invités à auto-évaluer et co-évaluer leurs propres pratiques professionnelles en retour de stage avec le formateur et en groupe. L’analyse réflexive permet à chaque stagiaire de faire évoluer ses savoirs-être et sa posture professionnelle en revenant sur les situations vécues et en partageant avec les pairs.</w:t>
            </w:r>
          </w:p>
          <w:p w14:paraId="6C11B228"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 </w:t>
            </w:r>
          </w:p>
          <w:p w14:paraId="7DEC8B5C"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b/>
                <w:color w:val="000000"/>
                <w:sz w:val="20"/>
                <w:szCs w:val="20"/>
                <w:lang w:val="fr-FR"/>
              </w:rPr>
              <w:t>Sensibilisation et formation</w:t>
            </w:r>
          </w:p>
          <w:p w14:paraId="76AB38BD"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Des apports théoriques sont dispensés aux stagiaires sur les savoirs être professionnels attendus dans le métier d'agent de service hospitalier. Cela inclut les notions de communication, de gestion de conflits, d'éthique et de déontologie.</w:t>
            </w:r>
          </w:p>
          <w:p w14:paraId="21AC8F4B"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Des ateliers thématiques sont proposés sur des sujets spécifiques tels que la communication bienveillante, la gestion du stress ou la prévention des violences.</w:t>
            </w:r>
          </w:p>
          <w:p w14:paraId="7401E19F"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 </w:t>
            </w:r>
          </w:p>
          <w:p w14:paraId="07398581"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b/>
                <w:color w:val="000000"/>
                <w:sz w:val="20"/>
                <w:szCs w:val="20"/>
                <w:lang w:val="fr-FR"/>
              </w:rPr>
              <w:t>Tutorat</w:t>
            </w:r>
            <w:r>
              <w:rPr>
                <w:rFonts w:ascii="Arial" w:eastAsia="Arial" w:hAnsi="Arial" w:cs="Arial"/>
                <w:color w:val="000000"/>
                <w:sz w:val="20"/>
                <w:szCs w:val="20"/>
                <w:lang w:val="fr-FR"/>
              </w:rPr>
              <w:t xml:space="preserve"> </w:t>
            </w:r>
          </w:p>
          <w:p w14:paraId="44C35957"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Le stagiaire est accompagné par un professionnel expérimenté pendant la période de stage, qui prodigue des conseils et aide à développer leurs savoirs être professionnels</w:t>
            </w:r>
          </w:p>
          <w:p w14:paraId="15473048"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Le formateur référent qui accompagne le stagiaire lors des périodes en entreprise s’assure de la posture professionnelle adaptée et accompagne le stagiaire tout au long de son parcours.</w:t>
            </w:r>
          </w:p>
          <w:p w14:paraId="6713ED2E"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 </w:t>
            </w:r>
          </w:p>
          <w:p w14:paraId="027EF24E"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b/>
                <w:color w:val="000000"/>
                <w:sz w:val="20"/>
                <w:szCs w:val="20"/>
                <w:lang w:val="fr-FR"/>
              </w:rPr>
              <w:t>Implication dans des projets collectifs</w:t>
            </w:r>
          </w:p>
          <w:p w14:paraId="5B223FB9"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Les stagiaires sont impliqués dans des projets pédagogiques collectifs qui favorisent le développement de leurs compétences relationnelles et leur capacité à travailler en équipe. Par exemple, ils peuvent être amenés à organiser des conférences sur des thématiques liées au champ de la vieillesse ou du handicap.</w:t>
            </w:r>
          </w:p>
          <w:p w14:paraId="4BF38E8D"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 </w:t>
            </w:r>
          </w:p>
          <w:p w14:paraId="59B088BE"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b/>
                <w:color w:val="000000"/>
                <w:sz w:val="20"/>
                <w:szCs w:val="20"/>
                <w:lang w:val="fr-FR"/>
              </w:rPr>
              <w:t>Rencontres avec des professionnels</w:t>
            </w:r>
          </w:p>
          <w:p w14:paraId="647AD2D6"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Conférences et débats : les stagiaires assistent aux évènements selon la programmation sur le territoire pendant le temps de la formation et rencontrent ainsi des professionnels d’établissements médico-sociaux.</w:t>
            </w:r>
          </w:p>
          <w:p w14:paraId="56F75892"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Des visites de structures d’accueil d’enfants ou adultes handicapés permettent aux stagiaires de découvrir les différents environnements de travail et de rencontrer les professionnels qui y travaillent.</w:t>
            </w:r>
          </w:p>
          <w:p w14:paraId="6A0DCA67"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 </w:t>
            </w:r>
          </w:p>
          <w:p w14:paraId="2E1ACACE"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 </w:t>
            </w:r>
          </w:p>
        </w:tc>
      </w:tr>
      <w:tr w:rsidR="00E23E51" w14:paraId="1EC3DBEE" w14:textId="77777777">
        <w:trPr>
          <w:trHeight w:val="842"/>
        </w:trPr>
        <w:tc>
          <w:tcPr>
            <w:tcW w:w="2581" w:type="dxa"/>
            <w:shd w:val="clear" w:color="auto" w:fill="C6D9F1"/>
            <w:vAlign w:val="center"/>
          </w:tcPr>
          <w:p w14:paraId="233EE1AA"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lastRenderedPageBreak/>
              <w:t>Durée totale de la formation technique (en heure)</w:t>
            </w:r>
          </w:p>
        </w:tc>
        <w:tc>
          <w:tcPr>
            <w:tcW w:w="7232" w:type="dxa"/>
            <w:shd w:val="clear" w:color="auto" w:fill="auto"/>
            <w:vAlign w:val="center"/>
          </w:tcPr>
          <w:p w14:paraId="3E640941" w14:textId="77777777" w:rsidR="00E23E51" w:rsidRDefault="00000000">
            <w:pPr>
              <w:tabs>
                <w:tab w:val="left" w:pos="-142"/>
                <w:tab w:val="left" w:pos="4111"/>
              </w:tabs>
              <w:spacing w:after="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300 h</w:t>
            </w:r>
          </w:p>
        </w:tc>
      </w:tr>
      <w:tr w:rsidR="00E23E51" w14:paraId="00C0F873" w14:textId="77777777">
        <w:trPr>
          <w:trHeight w:val="1061"/>
        </w:trPr>
        <w:tc>
          <w:tcPr>
            <w:tcW w:w="2581" w:type="dxa"/>
            <w:shd w:val="clear" w:color="auto" w:fill="C6D9F1"/>
            <w:vAlign w:val="center"/>
          </w:tcPr>
          <w:p w14:paraId="5AD900B7"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Intensité hebdomadaire de référence de la formation (parcours complet)</w:t>
            </w:r>
          </w:p>
        </w:tc>
        <w:tc>
          <w:tcPr>
            <w:tcW w:w="7232" w:type="dxa"/>
            <w:shd w:val="clear" w:color="auto" w:fill="auto"/>
            <w:vAlign w:val="center"/>
          </w:tcPr>
          <w:p w14:paraId="51FD62B7" w14:textId="77777777" w:rsidR="00E23E51" w:rsidRDefault="00000000">
            <w:pPr>
              <w:tabs>
                <w:tab w:val="left" w:pos="-142"/>
                <w:tab w:val="left" w:pos="4111"/>
              </w:tabs>
              <w:spacing w:after="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30 à 35h</w:t>
            </w:r>
          </w:p>
        </w:tc>
      </w:tr>
      <w:tr w:rsidR="00E23E51" w14:paraId="2758FE6D" w14:textId="77777777">
        <w:trPr>
          <w:trHeight w:val="1557"/>
        </w:trPr>
        <w:tc>
          <w:tcPr>
            <w:tcW w:w="2581" w:type="dxa"/>
            <w:shd w:val="clear" w:color="auto" w:fill="C6D9F1"/>
            <w:vAlign w:val="center"/>
          </w:tcPr>
          <w:p w14:paraId="060811D2"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lastRenderedPageBreak/>
              <w:t>Le cas échéant, contenu, durée et intensité hebdomadaire de chaque bloc de compétence.</w:t>
            </w:r>
          </w:p>
        </w:tc>
        <w:tc>
          <w:tcPr>
            <w:tcW w:w="7232" w:type="dxa"/>
            <w:shd w:val="clear" w:color="auto" w:fill="auto"/>
            <w:vAlign w:val="center"/>
          </w:tcPr>
          <w:p w14:paraId="7EA0680C"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jc w:val="both"/>
              <w:rPr>
                <w:rFonts w:ascii="Arial" w:hAnsi="Arial" w:cs="Arial"/>
                <w:sz w:val="20"/>
                <w:szCs w:val="20"/>
                <w:lang w:val="fr-FR"/>
              </w:rPr>
            </w:pPr>
            <w:r>
              <w:rPr>
                <w:rFonts w:ascii="Arial" w:eastAsia="Calibri" w:hAnsi="Arial" w:cs="Arial"/>
                <w:color w:val="000000"/>
                <w:sz w:val="20"/>
                <w:szCs w:val="20"/>
                <w:lang w:val="fr-FR"/>
              </w:rPr>
              <w:t> </w:t>
            </w:r>
          </w:p>
          <w:p w14:paraId="6AC499FD"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jc w:val="both"/>
              <w:rPr>
                <w:rFonts w:ascii="Arial" w:hAnsi="Arial" w:cs="Arial"/>
                <w:sz w:val="20"/>
                <w:szCs w:val="20"/>
              </w:rPr>
            </w:pPr>
            <w:r>
              <w:rPr>
                <w:rFonts w:ascii="Arial" w:eastAsia="Arial" w:hAnsi="Arial" w:cs="Arial"/>
                <w:color w:val="000000"/>
                <w:sz w:val="20"/>
                <w:szCs w:val="20"/>
                <w:lang w:val="fr-FR"/>
              </w:rPr>
              <w:t>Sans objet</w:t>
            </w:r>
          </w:p>
          <w:p w14:paraId="135462A5"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08"/>
              </w:tabs>
              <w:spacing w:after="0"/>
              <w:jc w:val="both"/>
              <w:rPr>
                <w:rFonts w:ascii="Arial" w:hAnsi="Arial" w:cs="Arial"/>
                <w:sz w:val="20"/>
                <w:szCs w:val="20"/>
                <w:lang w:val="fr-FR"/>
              </w:rPr>
            </w:pPr>
            <w:r>
              <w:rPr>
                <w:rFonts w:ascii="Arial" w:eastAsia="Calibri" w:hAnsi="Arial" w:cs="Arial"/>
                <w:color w:val="000000"/>
                <w:sz w:val="20"/>
                <w:szCs w:val="20"/>
                <w:lang w:val="fr-FR"/>
              </w:rPr>
              <w:t> </w:t>
            </w:r>
          </w:p>
        </w:tc>
      </w:tr>
      <w:tr w:rsidR="00E23E51" w14:paraId="3E21605C" w14:textId="77777777">
        <w:trPr>
          <w:trHeight w:val="1110"/>
        </w:trPr>
        <w:tc>
          <w:tcPr>
            <w:tcW w:w="2581" w:type="dxa"/>
            <w:shd w:val="clear" w:color="auto" w:fill="C6D9F1"/>
            <w:vAlign w:val="center"/>
          </w:tcPr>
          <w:p w14:paraId="1C257511"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Période de formation en entreprise obligatoire (RNCP ou formations supérieures à 300h)</w:t>
            </w:r>
          </w:p>
        </w:tc>
        <w:tc>
          <w:tcPr>
            <w:tcW w:w="7232" w:type="dxa"/>
            <w:shd w:val="clear" w:color="auto" w:fill="auto"/>
            <w:vAlign w:val="center"/>
          </w:tcPr>
          <w:p w14:paraId="6408BC01" w14:textId="77777777" w:rsidR="00E23E51" w:rsidRDefault="00000000">
            <w:pPr>
              <w:tabs>
                <w:tab w:val="left" w:pos="-142"/>
                <w:tab w:val="left" w:pos="4111"/>
              </w:tabs>
              <w:spacing w:after="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Conformément à l’annexe A</w:t>
            </w:r>
          </w:p>
        </w:tc>
      </w:tr>
      <w:tr w:rsidR="00E23E51" w14:paraId="36AEBF7D" w14:textId="77777777">
        <w:trPr>
          <w:trHeight w:val="1315"/>
        </w:trPr>
        <w:tc>
          <w:tcPr>
            <w:tcW w:w="2581" w:type="dxa"/>
            <w:shd w:val="clear" w:color="auto" w:fill="C6D9F1"/>
            <w:vAlign w:val="center"/>
          </w:tcPr>
          <w:p w14:paraId="217A75C7"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 xml:space="preserve">Si période de formation en entreprise non obligatoire, proposition de phase de mise en pratique de la formation en entreprise </w:t>
            </w:r>
          </w:p>
        </w:tc>
        <w:tc>
          <w:tcPr>
            <w:tcW w:w="7232" w:type="dxa"/>
            <w:shd w:val="clear" w:color="auto" w:fill="auto"/>
            <w:vAlign w:val="center"/>
          </w:tcPr>
          <w:p w14:paraId="72050A4A" w14:textId="77777777" w:rsidR="00E23E51" w:rsidRDefault="00000000">
            <w:pPr>
              <w:tabs>
                <w:tab w:val="left" w:pos="-142"/>
                <w:tab w:val="left" w:pos="4111"/>
              </w:tabs>
              <w:spacing w:after="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 xml:space="preserve">Une période en entreprise est recommandée. Elle s’effectue au 2/3 du parcours, les bénéficiaires ont déjà acquis les fondamentaux des règles d’hygiène et de sécurité, les bases des techniques de gestion hôtelière. L’entreprise leur permet de découvrir un autre environnement que celui de l’apprentissage en centre. Ils confrontent leurs acquis accompagnés en situation réelle </w:t>
            </w:r>
          </w:p>
          <w:p w14:paraId="46689F29" w14:textId="77777777" w:rsidR="00E23E51" w:rsidRDefault="00E23E51">
            <w:pPr>
              <w:tabs>
                <w:tab w:val="left" w:pos="-142"/>
                <w:tab w:val="left" w:pos="4111"/>
              </w:tabs>
              <w:spacing w:after="0" w:line="240" w:lineRule="auto"/>
              <w:jc w:val="both"/>
              <w:rPr>
                <w:rFonts w:ascii="Arial" w:eastAsia="Times New Roman" w:hAnsi="Arial" w:cs="Arial"/>
                <w:sz w:val="20"/>
                <w:szCs w:val="20"/>
                <w:lang w:val="fr-FR" w:eastAsia="fr-FR"/>
              </w:rPr>
            </w:pPr>
          </w:p>
        </w:tc>
      </w:tr>
      <w:tr w:rsidR="00E23E51" w14:paraId="09F47E31" w14:textId="77777777">
        <w:trPr>
          <w:trHeight w:val="692"/>
        </w:trPr>
        <w:tc>
          <w:tcPr>
            <w:tcW w:w="2581" w:type="dxa"/>
            <w:shd w:val="clear" w:color="auto" w:fill="C6D9F1"/>
            <w:vAlign w:val="center"/>
          </w:tcPr>
          <w:p w14:paraId="68F4DED9"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Durée de la période de formation en entreprise (en heure)</w:t>
            </w:r>
          </w:p>
        </w:tc>
        <w:tc>
          <w:tcPr>
            <w:tcW w:w="7232" w:type="dxa"/>
            <w:shd w:val="clear" w:color="auto" w:fill="auto"/>
          </w:tcPr>
          <w:p w14:paraId="15160CC4" w14:textId="77777777" w:rsidR="00E23E51" w:rsidRDefault="00000000">
            <w:pPr>
              <w:tabs>
                <w:tab w:val="left" w:pos="-142"/>
                <w:tab w:val="left" w:pos="4111"/>
              </w:tabs>
              <w:spacing w:after="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70 h</w:t>
            </w:r>
          </w:p>
        </w:tc>
      </w:tr>
      <w:tr w:rsidR="00E23E51" w14:paraId="0A8A2EFA" w14:textId="77777777">
        <w:trPr>
          <w:trHeight w:val="986"/>
        </w:trPr>
        <w:tc>
          <w:tcPr>
            <w:tcW w:w="2581" w:type="dxa"/>
            <w:shd w:val="clear" w:color="auto" w:fill="C6D9F1"/>
            <w:vAlign w:val="center"/>
          </w:tcPr>
          <w:p w14:paraId="0399E01E"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Modalités d’organisation de l’évaluation finale des compétences</w:t>
            </w:r>
          </w:p>
        </w:tc>
        <w:tc>
          <w:tcPr>
            <w:tcW w:w="7232" w:type="dxa"/>
            <w:shd w:val="clear" w:color="auto" w:fill="auto"/>
          </w:tcPr>
          <w:p w14:paraId="413788DC" w14:textId="77777777" w:rsidR="00E23E51" w:rsidRDefault="00000000">
            <w:pPr>
              <w:tabs>
                <w:tab w:val="left" w:pos="-142"/>
                <w:tab w:val="left" w:pos="4111"/>
              </w:tabs>
              <w:spacing w:after="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Le candidat précise si les épreuves sont organisées en interne par lui-même ou en externe par un organisme certificateur agréé. Il communique les habilitations correspondantes.</w:t>
            </w:r>
          </w:p>
        </w:tc>
      </w:tr>
      <w:tr w:rsidR="00E23E51" w14:paraId="6CCC9748" w14:textId="77777777">
        <w:trPr>
          <w:trHeight w:val="672"/>
        </w:trPr>
        <w:tc>
          <w:tcPr>
            <w:tcW w:w="2581" w:type="dxa"/>
            <w:shd w:val="clear" w:color="auto" w:fill="C6D9F1"/>
            <w:vAlign w:val="center"/>
          </w:tcPr>
          <w:p w14:paraId="7238D222"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Lieux d’examen</w:t>
            </w:r>
          </w:p>
        </w:tc>
        <w:tc>
          <w:tcPr>
            <w:tcW w:w="7232" w:type="dxa"/>
            <w:shd w:val="clear" w:color="auto" w:fill="auto"/>
          </w:tcPr>
          <w:p w14:paraId="08E24DBA" w14:textId="77777777" w:rsidR="00E23E51" w:rsidRDefault="00000000">
            <w:pPr>
              <w:tabs>
                <w:tab w:val="left" w:pos="-142"/>
                <w:tab w:val="left" w:pos="4111"/>
              </w:tabs>
              <w:spacing w:after="0" w:line="240" w:lineRule="auto"/>
              <w:jc w:val="both"/>
              <w:rPr>
                <w:rFonts w:ascii="Arial" w:eastAsia="Times New Roman" w:hAnsi="Arial" w:cs="Arial"/>
                <w:sz w:val="20"/>
                <w:szCs w:val="20"/>
                <w:lang w:val="fr-FR" w:eastAsia="fr-FR"/>
              </w:rPr>
            </w:pPr>
            <w:r>
              <w:rPr>
                <w:rFonts w:ascii="Arial" w:eastAsia="Times New Roman" w:hAnsi="Arial" w:cs="Arial"/>
                <w:sz w:val="20"/>
                <w:szCs w:val="20"/>
                <w:lang w:val="fr-FR" w:eastAsia="fr-FR"/>
              </w:rPr>
              <w:t>Sans objet</w:t>
            </w:r>
          </w:p>
        </w:tc>
      </w:tr>
      <w:tr w:rsidR="00E23E51" w14:paraId="273BB627" w14:textId="77777777">
        <w:trPr>
          <w:trHeight w:val="672"/>
        </w:trPr>
        <w:tc>
          <w:tcPr>
            <w:tcW w:w="2581" w:type="dxa"/>
            <w:shd w:val="clear" w:color="auto" w:fill="C6D9F1"/>
            <w:vAlign w:val="center"/>
          </w:tcPr>
          <w:p w14:paraId="7FD4A6A1" w14:textId="77777777" w:rsidR="00E23E51" w:rsidRDefault="00000000">
            <w:pPr>
              <w:tabs>
                <w:tab w:val="left" w:pos="-142"/>
                <w:tab w:val="left" w:pos="4111"/>
              </w:tabs>
              <w:spacing w:after="0" w:line="240" w:lineRule="auto"/>
              <w:jc w:val="both"/>
              <w:rPr>
                <w:rFonts w:ascii="Times New Roman" w:eastAsia="Times New Roman" w:hAnsi="Times New Roman" w:cs="Times New Roman"/>
                <w:sz w:val="20"/>
                <w:szCs w:val="20"/>
                <w:lang w:val="fr-FR" w:eastAsia="fr-FR"/>
              </w:rPr>
            </w:pPr>
            <w:r>
              <w:rPr>
                <w:rFonts w:ascii="Times New Roman" w:eastAsia="Times New Roman" w:hAnsi="Times New Roman" w:cs="Times New Roman"/>
                <w:sz w:val="20"/>
                <w:szCs w:val="20"/>
                <w:lang w:val="fr-FR" w:eastAsia="fr-FR"/>
              </w:rPr>
              <w:t>Moyens matériels mis à disposition des stagiaires.</w:t>
            </w:r>
          </w:p>
        </w:tc>
        <w:tc>
          <w:tcPr>
            <w:tcW w:w="7232" w:type="dxa"/>
            <w:shd w:val="clear" w:color="auto" w:fill="auto"/>
          </w:tcPr>
          <w:p w14:paraId="1C0969E6"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b/>
                <w:color w:val="000000"/>
                <w:sz w:val="20"/>
                <w:szCs w:val="20"/>
                <w:lang w:val="fr-FR"/>
              </w:rPr>
              <w:t xml:space="preserve">Plateaux techniques </w:t>
            </w:r>
            <w:r>
              <w:rPr>
                <w:rFonts w:ascii="Arial" w:eastAsia="Arial" w:hAnsi="Arial" w:cs="Arial"/>
                <w:color w:val="000000"/>
                <w:sz w:val="20"/>
                <w:szCs w:val="20"/>
                <w:lang w:val="fr-FR"/>
              </w:rPr>
              <w:t>(minimum garanti dans les centres pour 16 stagiaires)</w:t>
            </w:r>
          </w:p>
          <w:p w14:paraId="30305653"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 xml:space="preserve">Espace médicalisé avec lit médical </w:t>
            </w:r>
          </w:p>
          <w:p w14:paraId="496C89B7"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Espace mobilité avec fauteuil</w:t>
            </w:r>
          </w:p>
          <w:p w14:paraId="63EC09F8"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 xml:space="preserve">Espace entretien du linge </w:t>
            </w:r>
          </w:p>
          <w:p w14:paraId="71475CC9"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Espace hygiène des locaux : chariots de ménage, balai, aspirateur, raclette et produits d’entretien.</w:t>
            </w:r>
          </w:p>
          <w:p w14:paraId="59BF8839"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 </w:t>
            </w:r>
          </w:p>
          <w:p w14:paraId="23D9E0A1"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b/>
                <w:color w:val="000000"/>
                <w:sz w:val="20"/>
                <w:szCs w:val="20"/>
                <w:lang w:val="fr-FR"/>
              </w:rPr>
              <w:t>Matériel proposé</w:t>
            </w:r>
            <w:r>
              <w:rPr>
                <w:rFonts w:ascii="Arial" w:eastAsia="Arial" w:hAnsi="Arial" w:cs="Arial"/>
                <w:color w:val="000000"/>
                <w:sz w:val="20"/>
                <w:szCs w:val="20"/>
                <w:lang w:val="fr-FR"/>
              </w:rPr>
              <w:t xml:space="preserve"> (minimum nécessaire)</w:t>
            </w:r>
          </w:p>
          <w:p w14:paraId="788B45DE"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Lit médicalisé avec commande de lit, matelas à mémoire de forme, déambulateur, fauteuil roulant, table malade (pied adaptable)</w:t>
            </w:r>
          </w:p>
          <w:p w14:paraId="12045D7F"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Fauteuils béquilles, canne simple, canne tripode, cerceaux, planche de transfert</w:t>
            </w:r>
          </w:p>
          <w:p w14:paraId="4C8390C0"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Chariots de ménage, balai, aspirateurs, raclette, lavettes microfibres et produits d’entretien.</w:t>
            </w:r>
          </w:p>
          <w:p w14:paraId="6E54F7C1"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eastAsia="Arial" w:hAnsi="Arial" w:cs="Arial"/>
                <w:color w:val="000000"/>
                <w:sz w:val="20"/>
                <w:szCs w:val="20"/>
                <w:lang w:val="fr-FR"/>
              </w:rPr>
            </w:pPr>
            <w:r>
              <w:rPr>
                <w:rFonts w:ascii="Arial" w:eastAsia="Arial" w:hAnsi="Arial" w:cs="Arial"/>
                <w:color w:val="000000"/>
                <w:sz w:val="20"/>
                <w:szCs w:val="20"/>
                <w:lang w:val="fr-FR"/>
              </w:rPr>
              <w:t>Lave-linge, table à repasser</w:t>
            </w:r>
          </w:p>
          <w:p w14:paraId="4CB1976E"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Chariot à linge tri-sacs</w:t>
            </w:r>
          </w:p>
          <w:p w14:paraId="540B3B97"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 </w:t>
            </w:r>
          </w:p>
          <w:p w14:paraId="4DF9E785"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b/>
                <w:color w:val="000000"/>
                <w:sz w:val="20"/>
                <w:szCs w:val="20"/>
                <w:lang w:val="fr-FR"/>
              </w:rPr>
              <w:t>Salle banalisée</w:t>
            </w:r>
          </w:p>
          <w:p w14:paraId="0733C717"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color w:val="000000"/>
                <w:sz w:val="20"/>
                <w:szCs w:val="20"/>
                <w:lang w:val="fr-FR"/>
              </w:rPr>
              <w:t>Tableau blanc, vidéoprojecteur, ordinateurs portables ou PC fixes, tables, chaises, connexion internet</w:t>
            </w:r>
          </w:p>
          <w:p w14:paraId="686974CD"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 </w:t>
            </w:r>
          </w:p>
          <w:p w14:paraId="30B2C633"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Arial" w:hAnsi="Arial" w:cs="Arial"/>
                <w:b/>
                <w:color w:val="000000"/>
                <w:sz w:val="20"/>
                <w:szCs w:val="20"/>
                <w:lang w:val="fr-FR"/>
              </w:rPr>
              <w:t>Bureau individuel pour recevoir les stagiaires en entretien individuel</w:t>
            </w:r>
          </w:p>
          <w:p w14:paraId="556A5151"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hAnsi="Arial" w:cs="Arial"/>
                <w:sz w:val="20"/>
                <w:szCs w:val="20"/>
                <w:lang w:val="fr-FR"/>
              </w:rPr>
            </w:pPr>
            <w:r>
              <w:rPr>
                <w:rFonts w:ascii="Arial" w:eastAsia="Calibri" w:hAnsi="Arial" w:cs="Arial"/>
                <w:color w:val="000000"/>
                <w:sz w:val="20"/>
                <w:szCs w:val="20"/>
                <w:lang w:val="fr-FR"/>
              </w:rPr>
              <w:t> </w:t>
            </w:r>
          </w:p>
          <w:p w14:paraId="6ABE7281" w14:textId="77777777" w:rsidR="00E23E51" w:rsidRDefault="00000000">
            <w:pPr>
              <w:pBdr>
                <w:top w:val="none" w:sz="4" w:space="0" w:color="000000"/>
                <w:left w:val="none" w:sz="4" w:space="0" w:color="000000"/>
                <w:bottom w:val="none" w:sz="4" w:space="0" w:color="000000"/>
                <w:right w:val="none" w:sz="4" w:space="0" w:color="000000"/>
              </w:pBdr>
              <w:tabs>
                <w:tab w:val="left" w:pos="566"/>
                <w:tab w:val="left" w:pos="4111"/>
              </w:tabs>
              <w:spacing w:after="0"/>
              <w:jc w:val="both"/>
              <w:rPr>
                <w:rFonts w:ascii="Arial" w:eastAsia="Arial" w:hAnsi="Arial" w:cs="Arial"/>
                <w:color w:val="000000"/>
                <w:sz w:val="20"/>
                <w:szCs w:val="20"/>
                <w:lang w:val="fr-FR"/>
              </w:rPr>
            </w:pPr>
            <w:r>
              <w:rPr>
                <w:rFonts w:ascii="Arial" w:eastAsia="Arial" w:hAnsi="Arial" w:cs="Arial"/>
                <w:b/>
                <w:color w:val="000000"/>
                <w:sz w:val="20"/>
                <w:szCs w:val="20"/>
                <w:lang w:val="fr-FR"/>
              </w:rPr>
              <w:t xml:space="preserve">Centre de ressources : </w:t>
            </w:r>
            <w:r>
              <w:rPr>
                <w:rFonts w:ascii="Arial" w:eastAsia="Arial" w:hAnsi="Arial" w:cs="Arial"/>
                <w:color w:val="000000"/>
                <w:sz w:val="20"/>
                <w:szCs w:val="20"/>
                <w:lang w:val="fr-FR"/>
              </w:rPr>
              <w:t xml:space="preserve">Ordinateurs, connexion internet, accès à des plateformes de contenus numériques type </w:t>
            </w:r>
            <w:r>
              <w:rPr>
                <w:rFonts w:ascii="Arial" w:eastAsia="Arial" w:hAnsi="Arial" w:cs="Arial"/>
                <w:color w:val="000000"/>
                <w:sz w:val="20"/>
                <w:szCs w:val="20"/>
                <w:highlight w:val="white"/>
                <w:lang w:val="fr-FR"/>
              </w:rPr>
              <w:t xml:space="preserve">YPAREO, E-GRETA MOODLE, CHAMILO, </w:t>
            </w:r>
            <w:r>
              <w:rPr>
                <w:rFonts w:ascii="Arial" w:eastAsia="Arial" w:hAnsi="Arial" w:cs="Arial"/>
                <w:color w:val="000000"/>
                <w:sz w:val="20"/>
                <w:szCs w:val="20"/>
                <w:lang w:val="fr-FR"/>
              </w:rPr>
              <w:t>documentation générale et spécialisée.</w:t>
            </w:r>
          </w:p>
        </w:tc>
      </w:tr>
    </w:tbl>
    <w:p w14:paraId="38C7B03D" w14:textId="77777777" w:rsidR="00E23E51" w:rsidRDefault="00E23E51"/>
    <w:sectPr w:rsidR="00E23E51">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8A6D" w14:textId="77777777" w:rsidR="00631422" w:rsidRDefault="00631422">
      <w:pPr>
        <w:spacing w:after="0" w:line="240" w:lineRule="auto"/>
      </w:pPr>
      <w:r>
        <w:separator/>
      </w:r>
    </w:p>
  </w:endnote>
  <w:endnote w:type="continuationSeparator" w:id="0">
    <w:p w14:paraId="04505D5B" w14:textId="77777777" w:rsidR="00631422" w:rsidRDefault="00631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982A" w14:textId="77777777" w:rsidR="00E23E51" w:rsidRDefault="00E23E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842C" w14:textId="77777777" w:rsidR="00E23E51" w:rsidRDefault="00E23E5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C7D7" w14:textId="77777777" w:rsidR="00E23E51" w:rsidRDefault="00E23E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401A" w14:textId="77777777" w:rsidR="00631422" w:rsidRDefault="00631422">
      <w:pPr>
        <w:spacing w:after="0" w:line="240" w:lineRule="auto"/>
      </w:pPr>
      <w:r>
        <w:separator/>
      </w:r>
    </w:p>
  </w:footnote>
  <w:footnote w:type="continuationSeparator" w:id="0">
    <w:p w14:paraId="4E6B3033" w14:textId="77777777" w:rsidR="00631422" w:rsidRDefault="006314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0A304" w14:textId="77777777" w:rsidR="00E23E51" w:rsidRDefault="00E23E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8F514" w14:textId="77777777" w:rsidR="00E23E51" w:rsidRDefault="00000000">
    <w:pPr>
      <w:pStyle w:val="En-tte"/>
    </w:pPr>
    <w:r>
      <w:rPr>
        <w:noProof/>
        <w14:ligatures w14:val="standardContextual"/>
      </w:rPr>
      <mc:AlternateContent>
        <mc:Choice Requires="wpg">
          <w:drawing>
            <wp:anchor distT="0" distB="0" distL="114300" distR="114300" simplePos="0" relativeHeight="251659264" behindDoc="0" locked="0" layoutInCell="1" allowOverlap="1" wp14:anchorId="171106F7" wp14:editId="0344E223">
              <wp:simplePos x="0" y="0"/>
              <wp:positionH relativeFrom="margin">
                <wp:posOffset>4076700</wp:posOffset>
              </wp:positionH>
              <wp:positionV relativeFrom="paragraph">
                <wp:posOffset>180340</wp:posOffset>
              </wp:positionV>
              <wp:extent cx="1990725" cy="743585"/>
              <wp:effectExtent l="0" t="0" r="9525" b="0"/>
              <wp:wrapNone/>
              <wp:docPr id="1"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4919" name="Image 1" descr="Une image contenant texte, Police, logo, Graphique&#10;&#10;Description générée automatiquement"/>
                      <pic:cNvPicPr>
                        <a:picLocks noChangeAspect="1"/>
                      </pic:cNvPicPr>
                    </pic:nvPicPr>
                    <pic:blipFill>
                      <a:blip r:embed="rId1"/>
                      <a:stretch/>
                    </pic:blipFill>
                    <pic:spPr bwMode="auto">
                      <a:xfrm>
                        <a:off x="0" y="0"/>
                        <a:ext cx="1990725" cy="74358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margin;margin-left:321.00pt;mso-position-horizontal:absolute;mso-position-vertical-relative:text;margin-top:14.20pt;mso-position-vertical:absolute;width:156.75pt;height:58.55pt;mso-wrap-distance-left:9.00pt;mso-wrap-distance-top:0.00pt;mso-wrap-distance-right:9.00pt;mso-wrap-distance-bottom:0.00pt;z-index:1;" stroked="f">
              <v:imagedata r:id="rId2" o:title=""/>
              <o:lock v:ext="edit" rotation="t"/>
            </v:shape>
          </w:pict>
        </mc:Fallback>
      </mc:AlternateContent>
    </w:r>
    <w:r>
      <w:rPr>
        <w:noProof/>
        <w14:ligatures w14:val="standardContextual"/>
      </w:rPr>
      <mc:AlternateContent>
        <mc:Choice Requires="wpg">
          <w:drawing>
            <wp:inline distT="0" distB="0" distL="0" distR="0" wp14:anchorId="04A4193B" wp14:editId="2668AEF9">
              <wp:extent cx="1664335" cy="993775"/>
              <wp:effectExtent l="0" t="0" r="0" b="0"/>
              <wp:docPr id="2" name="Image 2" descr="Une image contenant capture d’écran, Graphique, Police, Caractère color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Une image contenant capture d’écran, Graphique, Police, Caractère coloré&#10;&#10;Description générée automatiquement"/>
                      <pic:cNvPicPr>
                        <a:picLocks noChangeAspect="1"/>
                      </pic:cNvPicPr>
                    </pic:nvPicPr>
                    <pic:blipFill>
                      <a:blip r:embed="rId3"/>
                      <a:stretch/>
                    </pic:blipFill>
                    <pic:spPr bwMode="auto">
                      <a:xfrm>
                        <a:off x="0" y="0"/>
                        <a:ext cx="1664335" cy="993775"/>
                      </a:xfrm>
                      <a:prstGeom prst="rect">
                        <a:avLst/>
                      </a:prstGeom>
                      <a:noFill/>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31.05pt;height:78.25pt;mso-wrap-distance-left:0.00pt;mso-wrap-distance-top:0.00pt;mso-wrap-distance-right:0.00pt;mso-wrap-distance-bottom:0.00pt;z-index:1;" stroked="false">
              <v:imagedata r:id="rId4" o:title=""/>
              <o:lock v:ext="edit" rota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D295" w14:textId="77777777" w:rsidR="00E23E51" w:rsidRDefault="00E23E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005FA"/>
    <w:multiLevelType w:val="multilevel"/>
    <w:tmpl w:val="098A2C8C"/>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4CC910B8"/>
    <w:multiLevelType w:val="multilevel"/>
    <w:tmpl w:val="098219A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5F2028DC"/>
    <w:multiLevelType w:val="multilevel"/>
    <w:tmpl w:val="7EA862E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num w:numId="1" w16cid:durableId="130827293">
    <w:abstractNumId w:val="1"/>
  </w:num>
  <w:num w:numId="2" w16cid:durableId="1756827277">
    <w:abstractNumId w:val="2"/>
  </w:num>
  <w:num w:numId="3" w16cid:durableId="171410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E51"/>
    <w:rsid w:val="00016C72"/>
    <w:rsid w:val="00631422"/>
    <w:rsid w:val="00B103E5"/>
    <w:rsid w:val="00E23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B602A"/>
  <w15:docId w15:val="{EFEB0535-24C6-4C56-8893-B94504F9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14:ligatures w14:val="none"/>
    </w:rPr>
  </w:style>
  <w:style w:type="paragraph" w:styleId="Titre1">
    <w:name w:val="heading 1"/>
    <w:basedOn w:val="Normal"/>
    <w:next w:val="Normal"/>
    <w:link w:val="Titre1C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customStyle="1" w:styleId="Heading1Char">
    <w:name w:val="Heading 1 Char"/>
    <w:basedOn w:val="Policepardfaut"/>
    <w:uiPriority w:val="9"/>
    <w:rPr>
      <w:rFonts w:ascii="Arial" w:eastAsia="Arial" w:hAnsi="Arial" w:cs="Arial"/>
      <w:color w:val="0F4761" w:themeColor="accent1" w:themeShade="BF"/>
      <w:sz w:val="40"/>
      <w:szCs w:val="40"/>
    </w:rPr>
  </w:style>
  <w:style w:type="character" w:customStyle="1" w:styleId="Heading2Char">
    <w:name w:val="Heading 2 Char"/>
    <w:basedOn w:val="Policepardfaut"/>
    <w:uiPriority w:val="9"/>
    <w:rPr>
      <w:rFonts w:ascii="Arial" w:eastAsia="Arial" w:hAnsi="Arial" w:cs="Arial"/>
      <w:color w:val="0F4761" w:themeColor="accent1" w:themeShade="BF"/>
      <w:sz w:val="32"/>
      <w:szCs w:val="32"/>
    </w:rPr>
  </w:style>
  <w:style w:type="character" w:customStyle="1" w:styleId="Heading3Char">
    <w:name w:val="Heading 3 Char"/>
    <w:basedOn w:val="Policepardfaut"/>
    <w:uiPriority w:val="9"/>
    <w:rPr>
      <w:rFonts w:ascii="Arial" w:eastAsia="Arial" w:hAnsi="Arial" w:cs="Arial"/>
      <w:color w:val="0F4761" w:themeColor="accent1" w:themeShade="BF"/>
      <w:sz w:val="28"/>
      <w:szCs w:val="28"/>
    </w:rPr>
  </w:style>
  <w:style w:type="character" w:customStyle="1" w:styleId="Heading4Char">
    <w:name w:val="Heading 4 Char"/>
    <w:basedOn w:val="Policepardfaut"/>
    <w:uiPriority w:val="9"/>
    <w:rPr>
      <w:rFonts w:ascii="Arial" w:eastAsia="Arial" w:hAnsi="Arial" w:cs="Arial"/>
      <w:i/>
      <w:iCs/>
      <w:color w:val="0F4761" w:themeColor="accent1" w:themeShade="BF"/>
    </w:rPr>
  </w:style>
  <w:style w:type="character" w:customStyle="1" w:styleId="Heading5Char">
    <w:name w:val="Heading 5 Char"/>
    <w:basedOn w:val="Policepardfaut"/>
    <w:uiPriority w:val="9"/>
    <w:rPr>
      <w:rFonts w:ascii="Arial" w:eastAsia="Arial" w:hAnsi="Arial" w:cs="Arial"/>
      <w:color w:val="0F476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0F4761" w:themeColor="accent1" w:themeShade="BF"/>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line="240" w:lineRule="auto"/>
    </w:pPr>
    <w:rPr>
      <w:i/>
      <w:iCs/>
      <w:color w:val="0E2841"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467886" w:themeColor="hyperlink"/>
      <w:u w:val="single"/>
    </w:rPr>
  </w:style>
  <w:style w:type="character" w:styleId="Lienhypertextesuivivisit">
    <w:name w:val="FollowedHyperlink"/>
    <w:basedOn w:val="Policepardfaut"/>
    <w:uiPriority w:val="99"/>
    <w:semiHidden/>
    <w:unhideWhenUsed/>
    <w:rPr>
      <w:color w:val="96607D"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Pr>
      <w:rFonts w:eastAsiaTheme="majorEastAsia" w:cstheme="majorBidi"/>
      <w:color w:val="0F4761" w:themeColor="accent1" w:themeShade="BF"/>
    </w:rPr>
  </w:style>
  <w:style w:type="character" w:customStyle="1" w:styleId="Titre6Car">
    <w:name w:val="Titre 6 Car"/>
    <w:basedOn w:val="Policepardfaut"/>
    <w:link w:val="Titre6"/>
    <w:uiPriority w:val="9"/>
    <w:semiHidden/>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Pr>
      <w:rFonts w:eastAsiaTheme="majorEastAsia" w:cstheme="majorBidi"/>
      <w:color w:val="595959" w:themeColor="text1" w:themeTint="A6"/>
    </w:rPr>
  </w:style>
  <w:style w:type="character" w:customStyle="1" w:styleId="Titre8Car">
    <w:name w:val="Titre 8 Car"/>
    <w:basedOn w:val="Policepardfaut"/>
    <w:link w:val="Titre8"/>
    <w:uiPriority w:val="9"/>
    <w:semiHidden/>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Pr>
      <w:rFonts w:eastAsiaTheme="majorEastAsia" w:cstheme="majorBidi"/>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0F4761" w:themeColor="accent1" w:themeShade="BF"/>
    </w:rPr>
  </w:style>
  <w:style w:type="paragraph" w:styleId="Citationintense">
    <w:name w:val="Intense Quote"/>
    <w:basedOn w:val="Normal"/>
    <w:next w:val="Normal"/>
    <w:link w:val="CitationintenseC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Pr>
      <w:i/>
      <w:iCs/>
      <w:color w:val="0F4761" w:themeColor="accent1" w:themeShade="BF"/>
    </w:rPr>
  </w:style>
  <w:style w:type="character" w:styleId="Rfrenceintense">
    <w:name w:val="Intense Reference"/>
    <w:basedOn w:val="Policepardfaut"/>
    <w:uiPriority w:val="32"/>
    <w:qFormat/>
    <w:rPr>
      <w:b/>
      <w:bCs/>
      <w:smallCaps/>
      <w:color w:val="0F4761" w:themeColor="accent1" w:themeShade="BF"/>
      <w:spacing w:val="5"/>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lang w:val="en-US"/>
      <w14:ligatures w14:val="none"/>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9" Type="http://schemas.openxmlformats.org/officeDocument/2006/relationships/footer" Target="footer2.xml"/><Relationship Id="rId4" Type="http://schemas.openxmlformats.org/officeDocument/2006/relationships/webSettings" Target="webSetting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0.png"/><Relationship Id="rId1" Type="http://schemas.openxmlformats.org/officeDocument/2006/relationships/image" Target="media/image2.png"/><Relationship Id="rId4" Type="http://schemas.openxmlformats.org/officeDocument/2006/relationships/image" Target="media/image2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2699</Words>
  <Characters>14848</Characters>
  <Application>Microsoft Office Word</Application>
  <DocSecurity>0</DocSecurity>
  <Lines>123</Lines>
  <Paragraphs>35</Paragraphs>
  <ScaleCrop>false</ScaleCrop>
  <Company>HP Inc.</Company>
  <LinksUpToDate>false</LinksUpToDate>
  <CharactersWithSpaces>17512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Véronique REMY</dc:creator>
  <cp:keywords/>
  <dc:description/>
  <cp:lastModifiedBy>Emmanuelle CONTRERAS</cp:lastModifiedBy>
  <cp:revision>2</cp:revision>
  <dcterms:created xsi:type="dcterms:W3CDTF">2025-02-20T14:21:00Z</dcterms:created>
  <dcterms:modified xsi:type="dcterms:W3CDTF">2025-02-20T14:21:00Z</dcterms:modified>
</cp:coreProperties>
</file>